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12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D000000">
      <w:pPr>
        <w:spacing w:after="0" w:before="0"/>
        <w:ind w:firstLine="0" w:left="120"/>
        <w:jc w:val="center"/>
        <w:rPr>
          <w:sz w:val="24"/>
        </w:rPr>
      </w:pPr>
      <w:r>
        <w:drawing>
          <wp:inline>
            <wp:extent cx="6480301" cy="9163878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3" r:link=""/>
                    <a:stretch/>
                  </pic:blipFill>
                  <pic:spPr>
                    <a:xfrm rot="0">
                      <a:off x="0" y="0"/>
                      <a:ext cx="6480301" cy="916387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sectPr>
          <w:headerReference r:id="rId12" w:type="default"/>
          <w:pgSz w:h="16383" w:w="11906"/>
        </w:sectPr>
      </w:pPr>
    </w:p>
    <w:p w14:paraId="0F000000">
      <w:pPr>
        <w:spacing w:after="0" w:before="0"/>
        <w:ind w:firstLine="0" w:left="120"/>
        <w:jc w:val="center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ПОЯСНИТЕЛЬНАЯ ЗАПИСКА</w:t>
      </w:r>
    </w:p>
    <w:p w14:paraId="10000000">
      <w:pPr>
        <w:spacing w:after="0" w:before="0"/>
        <w:ind w:firstLine="0" w:left="120"/>
        <w:jc w:val="both"/>
        <w:rPr>
          <w:sz w:val="24"/>
        </w:rPr>
      </w:pPr>
    </w:p>
    <w:p w14:paraId="1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14:paraId="1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14:paraId="1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Информатика на уровне среднего общего образования отражает:</w:t>
      </w:r>
    </w:p>
    <w:p w14:paraId="1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1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1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междисциплинарный характер информатики и информационной деятельности.</w:t>
      </w:r>
    </w:p>
    <w:p w14:paraId="1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14:paraId="1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 содержании учебного предмета «Информатика» выделяются четыре тематических раздела.</w:t>
      </w:r>
    </w:p>
    <w:p w14:paraId="1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14:paraId="1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14:paraId="1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14:paraId="1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14:paraId="1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14:paraId="1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14:paraId="1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14:paraId="2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14:paraId="2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14:paraId="2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14:paraId="2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сформированность основ логического и алгоритмического мышления;</w:t>
      </w:r>
    </w:p>
    <w:p w14:paraId="2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14:paraId="2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14:paraId="2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14:paraId="2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14:paraId="2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‌</w:t>
      </w:r>
      <w:bookmarkStart w:id="1" w:name="6d191c0f-7a0e-48a8-b80d-063d85de251e"/>
      <w:bookmarkEnd w:id="1"/>
      <w:r>
        <w:rPr>
          <w:rFonts w:ascii="Times New Roman" w:hAnsi="Times New Roman"/>
          <w:b w:val="0"/>
          <w:i w:val="0"/>
          <w:color w:val="000000"/>
          <w:sz w:val="24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r>
        <w:rPr>
          <w:rFonts w:ascii="Times New Roman" w:hAnsi="Times New Roman"/>
          <w:b w:val="0"/>
          <w:i w:val="0"/>
          <w:color w:val="000000"/>
          <w:sz w:val="24"/>
        </w:rPr>
        <w:t>‌</w:t>
      </w:r>
      <w:r>
        <w:rPr>
          <w:rFonts w:ascii="Times New Roman" w:hAnsi="Times New Roman"/>
          <w:b w:val="0"/>
          <w:i w:val="0"/>
          <w:color w:val="000000"/>
          <w:sz w:val="24"/>
        </w:rPr>
        <w:t>‌</w:t>
      </w:r>
    </w:p>
    <w:p w14:paraId="2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14:paraId="2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14:paraId="2B000000">
      <w:pPr>
        <w:sectPr>
          <w:headerReference r:id="rId8" w:type="default"/>
          <w:pgSz w:h="16383" w:w="11906"/>
        </w:sectPr>
      </w:pPr>
    </w:p>
    <w:p w14:paraId="2C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СОДЕРЖАНИЕ ОБУЧЕНИЯ</w:t>
      </w:r>
    </w:p>
    <w:p w14:paraId="2D000000">
      <w:pPr>
        <w:spacing w:after="0" w:before="0"/>
        <w:ind w:firstLine="0" w:left="120"/>
        <w:jc w:val="both"/>
        <w:rPr>
          <w:sz w:val="24"/>
        </w:rPr>
      </w:pPr>
    </w:p>
    <w:p w14:paraId="2E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10 КЛАСС</w:t>
      </w:r>
    </w:p>
    <w:p w14:paraId="2F000000">
      <w:pPr>
        <w:spacing w:after="0" w:before="0"/>
        <w:ind w:firstLine="0" w:left="120"/>
        <w:jc w:val="both"/>
        <w:rPr>
          <w:sz w:val="24"/>
        </w:rPr>
      </w:pPr>
    </w:p>
    <w:p w14:paraId="3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Цифровая грамотность</w:t>
      </w:r>
    </w:p>
    <w:p w14:paraId="3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14:paraId="3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14:paraId="3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14:paraId="3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14:paraId="3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14:paraId="3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14:paraId="3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14:paraId="3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Теоретические основы информатики</w:t>
      </w:r>
    </w:p>
    <w:p w14:paraId="3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14:paraId="3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14:paraId="3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14:paraId="3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P-ичной системы счисления в десятичную. Алгоритм перевода конечной P-ичной дроби в десятичную. Алгоритм перевода целого числа из десятичной системы счисления в P-ичную.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14:paraId="3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Представление целых и вещественных чисел в памяти компьютера. </w:t>
      </w:r>
    </w:p>
    <w:p w14:paraId="3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Кодирование текстов. Кодировка ASCII. Однобайтные кодировки. Стандарт UNICODE. Кодировка UTF-8. Определение информационного объёма текстовых сообщений.</w:t>
      </w:r>
    </w:p>
    <w:p w14:paraId="3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14:paraId="4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14:paraId="4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14:paraId="4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14:paraId="4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Информационные технологии</w:t>
      </w:r>
    </w:p>
    <w:p w14:paraId="4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14:paraId="4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14:paraId="4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Обработка изображения и звука с использованием интернет-приложений.</w:t>
      </w:r>
    </w:p>
    <w:p w14:paraId="4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14:paraId="4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Принципы построения и ред</w:t>
      </w:r>
      <w:r>
        <w:rPr>
          <w:rFonts w:ascii="Times New Roman" w:hAnsi="Times New Roman"/>
          <w:b w:val="0"/>
          <w:i w:val="0"/>
          <w:color w:val="000000"/>
          <w:sz w:val="24"/>
        </w:rPr>
        <w:t>актирования трёхмерных моделей.</w:t>
      </w:r>
    </w:p>
    <w:p w14:paraId="49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11 КЛАСС</w:t>
      </w:r>
    </w:p>
    <w:p w14:paraId="4A000000">
      <w:pPr>
        <w:spacing w:after="0" w:before="0"/>
        <w:ind w:firstLine="0" w:left="120"/>
        <w:jc w:val="both"/>
        <w:rPr>
          <w:sz w:val="24"/>
        </w:rPr>
      </w:pPr>
    </w:p>
    <w:p w14:paraId="4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Цифровая грамотность</w:t>
      </w:r>
    </w:p>
    <w:p w14:paraId="4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14:paraId="4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14:paraId="4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14:paraId="4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14:paraId="5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14:paraId="5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14:paraId="5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Теоретические основы информатики</w:t>
      </w:r>
    </w:p>
    <w:p w14:paraId="5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14:paraId="5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14:paraId="5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14:paraId="5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14:paraId="5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Использование графов и деревьев при описании объектов и процессов окружающего мира.</w:t>
      </w:r>
    </w:p>
    <w:p w14:paraId="5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Алгоритмы и программирование</w:t>
      </w:r>
    </w:p>
    <w:p w14:paraId="5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14:paraId="5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Этапы решения задач на компьютере. Язык программирования (Паскаль, Python, Java, C++, C#).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14:paraId="5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14:paraId="5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14:paraId="5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14:paraId="5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14:paraId="5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Информационные технологии</w:t>
      </w:r>
    </w:p>
    <w:p w14:paraId="6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14:paraId="6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14:paraId="6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14:paraId="6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Численное решение уравнений с помощью подбора параметра. </w:t>
      </w:r>
    </w:p>
    <w:p w14:paraId="6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14:paraId="6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Многотабличные базы данных. Типы связей между таблицами. Запросы к многотабличным базам данных.</w:t>
      </w:r>
    </w:p>
    <w:p w14:paraId="6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14:paraId="67000000">
      <w:pPr>
        <w:sectPr>
          <w:headerReference r:id="rId11" w:type="default"/>
          <w:pgSz w:h="16383" w:w="11906"/>
        </w:sectPr>
      </w:pPr>
    </w:p>
    <w:p w14:paraId="68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 w14:paraId="69000000">
      <w:pPr>
        <w:spacing w:after="0" w:before="0"/>
        <w:ind w:firstLine="0" w:left="120"/>
        <w:jc w:val="both"/>
        <w:rPr>
          <w:sz w:val="24"/>
        </w:rPr>
      </w:pPr>
    </w:p>
    <w:p w14:paraId="6A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ЛИЧНОСТНЫЕ РЕЗУЛЬТАТЫ</w:t>
      </w:r>
    </w:p>
    <w:p w14:paraId="6B000000">
      <w:pPr>
        <w:spacing w:after="0" w:before="0"/>
        <w:ind w:firstLine="0" w:left="120"/>
        <w:jc w:val="both"/>
        <w:rPr>
          <w:sz w:val="24"/>
        </w:rPr>
      </w:pPr>
    </w:p>
    <w:p w14:paraId="6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14:paraId="6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1) гражданского воспитания:</w:t>
      </w:r>
    </w:p>
    <w:p w14:paraId="6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14:paraId="6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14:paraId="7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2) патриотического воспитания:</w:t>
      </w:r>
    </w:p>
    <w:p w14:paraId="7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14:paraId="7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3) духовно-нравственного воспитания:</w:t>
      </w:r>
    </w:p>
    <w:p w14:paraId="7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сформированность нравственного сознания, этического поведения; </w:t>
      </w:r>
    </w:p>
    <w:p w14:paraId="7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14:paraId="7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4) эстетического воспитания:</w:t>
      </w:r>
    </w:p>
    <w:p w14:paraId="7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эстетическое отношение к миру, включая эстетику научного и технического творчества;</w:t>
      </w:r>
    </w:p>
    <w:p w14:paraId="7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14:paraId="7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5) физического воспитания:</w:t>
      </w:r>
    </w:p>
    <w:p w14:paraId="7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14:paraId="7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6) трудового воспитания:</w:t>
      </w:r>
    </w:p>
    <w:p w14:paraId="7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14:paraId="7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14:paraId="7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готовность и способность к образованию и самообразованию на протяжении всей жизни;</w:t>
      </w:r>
    </w:p>
    <w:p w14:paraId="7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7) экологического воспитания:</w:t>
      </w:r>
    </w:p>
    <w:p w14:paraId="7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14:paraId="8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8) ценности научного познания:</w:t>
      </w:r>
    </w:p>
    <w:p w14:paraId="8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14:paraId="8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14:paraId="8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14:paraId="8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8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14:paraId="8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8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88000000">
      <w:pPr>
        <w:spacing w:after="0" w:before="0"/>
        <w:ind w:firstLine="0" w:left="120"/>
        <w:jc w:val="both"/>
        <w:rPr>
          <w:sz w:val="24"/>
        </w:rPr>
      </w:pPr>
    </w:p>
    <w:p w14:paraId="89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МЕТАПРЕДМЕТНЫЕ РЕЗУЛЬТАТЫ</w:t>
      </w:r>
    </w:p>
    <w:p w14:paraId="8A000000">
      <w:pPr>
        <w:spacing w:after="0" w:before="0"/>
        <w:ind w:firstLine="0" w:left="120"/>
        <w:jc w:val="both"/>
        <w:rPr>
          <w:sz w:val="24"/>
        </w:rPr>
      </w:pPr>
    </w:p>
    <w:p w14:paraId="8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8C000000">
      <w:pPr>
        <w:spacing w:after="0" w:before="0"/>
        <w:ind w:firstLine="0" w:left="120"/>
        <w:jc w:val="both"/>
        <w:rPr>
          <w:sz w:val="24"/>
        </w:rPr>
      </w:pPr>
    </w:p>
    <w:p w14:paraId="8D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Познавательные универсальные учебные действия</w:t>
      </w:r>
    </w:p>
    <w:p w14:paraId="8E000000">
      <w:pPr>
        <w:spacing w:after="0" w:before="0"/>
        <w:ind w:firstLine="0" w:left="120"/>
        <w:jc w:val="both"/>
        <w:rPr>
          <w:sz w:val="24"/>
        </w:rPr>
      </w:pPr>
    </w:p>
    <w:p w14:paraId="8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1) базовые логические действия:</w:t>
      </w:r>
    </w:p>
    <w:p w14:paraId="9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самостоятельно формулировать и актуализировать проблему, рассматривать её всесторонне; </w:t>
      </w:r>
    </w:p>
    <w:p w14:paraId="9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устанавливать существенный признак или основания для сравнения, классификации и обобщения;</w:t>
      </w:r>
    </w:p>
    <w:p w14:paraId="9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определять цели деятельности, задавать параметры и критерии их достижения;</w:t>
      </w:r>
    </w:p>
    <w:p w14:paraId="9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выявлять закономерности и противоречия в рассматриваемых явлениях; </w:t>
      </w:r>
    </w:p>
    <w:p w14:paraId="9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разрабатывать план решения проблемы с учётом анализа имеющихся материальных и нематериальных ресурсов;</w:t>
      </w:r>
    </w:p>
    <w:p w14:paraId="9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9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9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развивать креативное мышление при решении жизненных проблем.</w:t>
      </w:r>
    </w:p>
    <w:p w14:paraId="9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2) базовые исследовательские действия:</w:t>
      </w:r>
    </w:p>
    <w:p w14:paraId="9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14:paraId="9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14:paraId="9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формирование научного типа мышления, владение научной терминологией, ключевыми понятиями и методами;</w:t>
      </w:r>
    </w:p>
    <w:p w14:paraId="9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ставить и формулировать собственные задачи в образовательной деятельности и жизненных ситуациях;</w:t>
      </w:r>
    </w:p>
    <w:p w14:paraId="9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9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9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давать оценку новым ситуациям, оценивать приобретённый опыт;</w:t>
      </w:r>
    </w:p>
    <w:p w14:paraId="A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осуществлять целенаправленный поиск переноса средств и способов действия в профессиональную среду;</w:t>
      </w:r>
    </w:p>
    <w:p w14:paraId="A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переносить знания в познавательную и практическую области жизнедеятельности;</w:t>
      </w:r>
    </w:p>
    <w:p w14:paraId="A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интегрировать знания из разных предметных областей; </w:t>
      </w:r>
    </w:p>
    <w:p w14:paraId="A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A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3) работа с информацией:</w:t>
      </w:r>
    </w:p>
    <w:p w14:paraId="A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A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14:paraId="A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14:paraId="A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A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владеть навыками распознавания и защиты информации, информационной безопасности личности.</w:t>
      </w:r>
    </w:p>
    <w:p w14:paraId="AA000000">
      <w:pPr>
        <w:spacing w:after="0" w:before="0"/>
        <w:ind w:firstLine="0" w:left="120"/>
        <w:jc w:val="both"/>
        <w:rPr>
          <w:sz w:val="24"/>
        </w:rPr>
      </w:pPr>
    </w:p>
    <w:p w14:paraId="AB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Коммуникативные универсальные учебные действия</w:t>
      </w:r>
    </w:p>
    <w:p w14:paraId="AC000000">
      <w:pPr>
        <w:spacing w:after="0" w:before="0"/>
        <w:ind w:firstLine="0" w:left="120"/>
        <w:jc w:val="both"/>
        <w:rPr>
          <w:sz w:val="24"/>
        </w:rPr>
      </w:pPr>
    </w:p>
    <w:p w14:paraId="A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1) общение:</w:t>
      </w:r>
    </w:p>
    <w:p w14:paraId="A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осуществлять коммуникации во всех сферах жизни;</w:t>
      </w:r>
    </w:p>
    <w:p w14:paraId="A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14:paraId="B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владеть различными способами общения и взаимодействия, аргументированно вести диалог;</w:t>
      </w:r>
    </w:p>
    <w:p w14:paraId="B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развёрнуто и логично излагать свою точку зрения.</w:t>
      </w:r>
    </w:p>
    <w:p w14:paraId="B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2) совместная деятельность:</w:t>
      </w:r>
    </w:p>
    <w:p w14:paraId="B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понимать и использовать преимущества командной и индивидуальной работы;</w:t>
      </w:r>
    </w:p>
    <w:p w14:paraId="B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B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14:paraId="B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план действий, распределять роли с учётом мнений участников, обсуждать результаты совместной работы;</w:t>
      </w:r>
    </w:p>
    <w:p w14:paraId="B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B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предлагать новые проекты, оценивать идеи с позиции новизны, оригинальности, практической значимости;</w:t>
      </w:r>
    </w:p>
    <w:p w14:paraId="B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BA000000">
      <w:pPr>
        <w:spacing w:after="0" w:before="0"/>
        <w:ind w:firstLine="0" w:left="120"/>
        <w:jc w:val="both"/>
        <w:rPr>
          <w:sz w:val="24"/>
        </w:rPr>
      </w:pPr>
    </w:p>
    <w:p w14:paraId="BB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Регулятивные универсальные учебные действия</w:t>
      </w:r>
    </w:p>
    <w:p w14:paraId="BC000000">
      <w:pPr>
        <w:spacing w:after="0" w:before="0"/>
        <w:ind w:firstLine="0" w:left="120"/>
        <w:jc w:val="both"/>
        <w:rPr>
          <w:sz w:val="24"/>
        </w:rPr>
      </w:pPr>
    </w:p>
    <w:p w14:paraId="B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1) самоорганизация:</w:t>
      </w:r>
    </w:p>
    <w:p w14:paraId="B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B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C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давать оценку новым ситуациям;</w:t>
      </w:r>
    </w:p>
    <w:p w14:paraId="C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расширять рамки учебного предмета на основе личных предпочтений;</w:t>
      </w:r>
    </w:p>
    <w:p w14:paraId="C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делать осознанный выбор, аргументировать его, брать ответственность за решение;</w:t>
      </w:r>
    </w:p>
    <w:p w14:paraId="C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оценивать приобретённый опыт;</w:t>
      </w:r>
    </w:p>
    <w:p w14:paraId="C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14:paraId="C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2) самоконтроль:</w:t>
      </w:r>
    </w:p>
    <w:p w14:paraId="C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14:paraId="C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14:paraId="C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оценивать риски и своевременно принимать решения по их снижению;</w:t>
      </w:r>
    </w:p>
    <w:p w14:paraId="C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принимать мотивы и аргументы других при анализе результатов деятельности.</w:t>
      </w:r>
    </w:p>
    <w:p w14:paraId="C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3) принятия себя и других:</w:t>
      </w:r>
    </w:p>
    <w:p w14:paraId="C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принимать себя, понимая свои недостатки и достоинства;</w:t>
      </w:r>
    </w:p>
    <w:p w14:paraId="C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принимать мотивы и аргументы других при анализе результатов деятельности;</w:t>
      </w:r>
    </w:p>
    <w:p w14:paraId="C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признавать своё право и право других на ошибку;</w:t>
      </w:r>
    </w:p>
    <w:p w14:paraId="C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развивать способность понимать мир с позиции другого человека.</w:t>
      </w:r>
    </w:p>
    <w:p w14:paraId="CF000000">
      <w:pPr>
        <w:spacing w:after="0" w:before="0"/>
        <w:ind w:firstLine="0" w:left="120"/>
        <w:jc w:val="both"/>
        <w:rPr>
          <w:sz w:val="24"/>
        </w:rPr>
      </w:pPr>
    </w:p>
    <w:p w14:paraId="D0000000">
      <w:pPr>
        <w:spacing w:after="0" w:before="0"/>
        <w:ind w:firstLine="0" w:left="120"/>
        <w:jc w:val="both"/>
        <w:rPr>
          <w:sz w:val="24"/>
        </w:rPr>
      </w:pPr>
    </w:p>
    <w:p w14:paraId="D1000000">
      <w:pPr>
        <w:spacing w:after="0" w:before="0"/>
        <w:ind w:firstLine="0" w:left="120"/>
        <w:jc w:val="both"/>
        <w:rPr>
          <w:sz w:val="24"/>
        </w:rPr>
      </w:pPr>
    </w:p>
    <w:p w14:paraId="D2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 xml:space="preserve">   ПРЕДМЕТНЫЕ РЕЗУЛЬТАТЫ</w:t>
      </w:r>
    </w:p>
    <w:p w14:paraId="D3000000">
      <w:pPr>
        <w:spacing w:after="0" w:before="0"/>
        <w:ind w:firstLine="0" w:left="120"/>
        <w:jc w:val="both"/>
        <w:rPr>
          <w:sz w:val="24"/>
        </w:rPr>
      </w:pPr>
    </w:p>
    <w:p w14:paraId="D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 w:val="1"/>
          <w:i w:val="1"/>
          <w:color w:val="000000"/>
          <w:sz w:val="24"/>
        </w:rPr>
        <w:t>в 10 классе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обучающимися будут достигнуты следующие предметные результаты:</w:t>
      </w:r>
    </w:p>
    <w:p w14:paraId="D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14:paraId="D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14:paraId="D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14:paraId="D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14:paraId="D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14:paraId="D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14:paraId="D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14:paraId="D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14:paraId="D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14:paraId="D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14:paraId="D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 w:val="1"/>
          <w:i w:val="1"/>
          <w:color w:val="000000"/>
          <w:sz w:val="24"/>
        </w:rPr>
        <w:t>в 11 классе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обучающимися будут достигнуты следующие предметные результаты:</w:t>
      </w:r>
    </w:p>
    <w:p w14:paraId="E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14:paraId="E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14:paraId="E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14:paraId="E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C++, C#),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E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умение реализовывать на выбранном для изучения языке программирования высокого уровня (Паскаль, Python, Java, C++, C#)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14:paraId="E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E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14:paraId="E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14:paraId="E8000000">
      <w:pPr>
        <w:sectPr>
          <w:headerReference r:id="rId10" w:type="default"/>
          <w:pgSz w:h="16383" w:w="11906"/>
        </w:sectPr>
      </w:pPr>
    </w:p>
    <w:p w14:paraId="E900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 xml:space="preserve"> ТЕМАТИЧЕСКОЕ ПЛАНИРОВАНИЕ </w:t>
      </w:r>
    </w:p>
    <w:p w14:paraId="EA00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 xml:space="preserve"> 10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</w:tblPr>
      <w:tblGrid>
        <w:gridCol w:w="743"/>
        <w:gridCol w:w="2400"/>
        <w:gridCol w:w="1445"/>
        <w:gridCol w:w="2484"/>
        <w:gridCol w:w="2605"/>
        <w:gridCol w:w="3917"/>
      </w:tblGrid>
      <w:tr>
        <w:trPr>
          <w:trHeight w:hRule="atLeast" w:val="300"/>
        </w:trPr>
        <w:tc>
          <w:tcPr>
            <w:tcW w:type="dxa" w:w="743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B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EC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400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D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EE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6534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F00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3917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0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F1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70"/>
        </w:trPr>
        <w:tc>
          <w:tcPr>
            <w:tcW w:type="dxa" w:w="743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400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2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F3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4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F5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6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F7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3917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8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Цифровая грамотность</w:t>
            </w:r>
          </w:p>
        </w:tc>
      </w:tr>
      <w:tr>
        <w:trPr>
          <w:trHeight w:hRule="atLeast" w:val="1635"/>
        </w:trPr>
        <w:tc>
          <w:tcPr>
            <w:tcW w:type="dxa" w:w="74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900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type="dxa" w:w="240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A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B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C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D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391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E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3143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F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0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9006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1010000">
            <w:pPr>
              <w:ind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Теоретические основы информатики</w:t>
            </w:r>
          </w:p>
        </w:tc>
      </w:tr>
      <w:tr>
        <w:trPr>
          <w:trHeight w:hRule="atLeast" w:val="825"/>
        </w:trPr>
        <w:tc>
          <w:tcPr>
            <w:tcW w:type="dxa" w:w="74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3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type="dxa" w:w="240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5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6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7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391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74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9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type="dxa" w:w="240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C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D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391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74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F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type="dxa" w:w="240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1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2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391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3143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5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6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21 </w:t>
            </w:r>
          </w:p>
        </w:tc>
        <w:tc>
          <w:tcPr>
            <w:tcW w:type="dxa" w:w="9006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7010000">
            <w:pPr>
              <w:ind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Информационные технологии</w:t>
            </w:r>
          </w:p>
        </w:tc>
      </w:tr>
      <w:tr>
        <w:trPr>
          <w:trHeight w:hRule="atLeast" w:val="1635"/>
        </w:trPr>
        <w:tc>
          <w:tcPr>
            <w:tcW w:type="dxa" w:w="74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9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type="dxa" w:w="240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C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D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391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3143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F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0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9006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1010000">
            <w:pPr>
              <w:ind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3143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5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391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6010000">
            <w:pPr>
              <w:ind/>
              <w:jc w:val="left"/>
              <w:rPr>
                <w:sz w:val="24"/>
              </w:rPr>
            </w:pPr>
          </w:p>
        </w:tc>
      </w:tr>
    </w:tbl>
    <w:p w14:paraId="27010000">
      <w:pPr>
        <w:sectPr>
          <w:headerReference r:id="rId3" w:type="default"/>
          <w:pgSz w:h="11906" w:w="16383"/>
        </w:sectPr>
      </w:pPr>
    </w:p>
    <w:p w14:paraId="2801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 xml:space="preserve"> 11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</w:tblPr>
      <w:tblGrid>
        <w:gridCol w:w="723"/>
        <w:gridCol w:w="2640"/>
        <w:gridCol w:w="1408"/>
        <w:gridCol w:w="2442"/>
        <w:gridCol w:w="2566"/>
        <w:gridCol w:w="3815"/>
      </w:tblGrid>
      <w:tr>
        <w:trPr>
          <w:trHeight w:hRule="atLeast" w:val="300"/>
        </w:trPr>
        <w:tc>
          <w:tcPr>
            <w:tcW w:type="dxa" w:w="723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9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2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640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B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6416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D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3815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F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70"/>
        </w:trPr>
        <w:tc>
          <w:tcPr>
            <w:tcW w:type="dxa" w:w="723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640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408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31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44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33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56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35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3815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Цифровая грамотность</w:t>
            </w:r>
          </w:p>
        </w:tc>
      </w:tr>
      <w:tr>
        <w:trPr>
          <w:trHeight w:hRule="atLeast" w:val="825"/>
        </w:trPr>
        <w:tc>
          <w:tcPr>
            <w:tcW w:type="dxa" w:w="72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7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type="dxa" w:w="26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type="dxa" w:w="1408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9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244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56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381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72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D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type="dxa" w:w="26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type="dxa" w:w="1408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F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type="dxa" w:w="244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0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56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1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381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3363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3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408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type="dxa" w:w="8823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5010000">
            <w:pPr>
              <w:ind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Теоретические основы информатики</w:t>
            </w:r>
          </w:p>
        </w:tc>
      </w:tr>
      <w:tr>
        <w:trPr>
          <w:trHeight w:hRule="atLeast" w:val="555"/>
        </w:trPr>
        <w:tc>
          <w:tcPr>
            <w:tcW w:type="dxa" w:w="72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7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type="dxa" w:w="26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type="dxa" w:w="1408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9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244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56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381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3363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408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E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8823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F010000">
            <w:pPr>
              <w:ind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Алгоритмы и программирование</w:t>
            </w:r>
          </w:p>
        </w:tc>
      </w:tr>
      <w:tr>
        <w:trPr>
          <w:trHeight w:hRule="atLeast" w:val="825"/>
        </w:trPr>
        <w:tc>
          <w:tcPr>
            <w:tcW w:type="dxa" w:w="72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1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type="dxa" w:w="26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type="dxa" w:w="1408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type="dxa" w:w="244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56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5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381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3363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7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408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8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type="dxa" w:w="8823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9010000">
            <w:pPr>
              <w:ind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Информационные технологии</w:t>
            </w:r>
          </w:p>
        </w:tc>
      </w:tr>
      <w:tr>
        <w:trPr>
          <w:trHeight w:hRule="atLeast" w:val="555"/>
        </w:trPr>
        <w:tc>
          <w:tcPr>
            <w:tcW w:type="dxa" w:w="72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B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type="dxa" w:w="26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таблицы</w:t>
            </w:r>
          </w:p>
        </w:tc>
        <w:tc>
          <w:tcPr>
            <w:tcW w:type="dxa" w:w="1408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D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244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E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56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F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381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72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1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type="dxa" w:w="26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Базы данных</w:t>
            </w:r>
          </w:p>
        </w:tc>
        <w:tc>
          <w:tcPr>
            <w:tcW w:type="dxa" w:w="1408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44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56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5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381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72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7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type="dxa" w:w="26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type="dxa" w:w="1408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9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44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56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381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3363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408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E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type="dxa" w:w="8823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F010000">
            <w:pPr>
              <w:ind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3363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408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1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244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2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56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381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4010000">
            <w:pPr>
              <w:ind/>
              <w:jc w:val="left"/>
              <w:rPr>
                <w:sz w:val="24"/>
              </w:rPr>
            </w:pPr>
          </w:p>
        </w:tc>
      </w:tr>
    </w:tbl>
    <w:p w14:paraId="75010000">
      <w:pPr>
        <w:sectPr>
          <w:headerReference r:id="rId5" w:type="default"/>
          <w:pgSz w:h="11906" w:w="16383"/>
        </w:sectPr>
      </w:pPr>
    </w:p>
    <w:p w14:paraId="76010000">
      <w:pPr>
        <w:sectPr>
          <w:headerReference r:id="rId6" w:type="default"/>
          <w:pgSz w:h="11906" w:w="16383"/>
        </w:sectPr>
      </w:pPr>
    </w:p>
    <w:p w14:paraId="7701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 xml:space="preserve"> ПОУРОЧНОЕ ПЛАНИРОВАНИЕ </w:t>
      </w:r>
    </w:p>
    <w:p w14:paraId="7801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 xml:space="preserve"> 10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</w:tblPr>
      <w:tblGrid>
        <w:gridCol w:w="540"/>
        <w:gridCol w:w="2880"/>
        <w:gridCol w:w="1187"/>
        <w:gridCol w:w="2185"/>
        <w:gridCol w:w="2327"/>
        <w:gridCol w:w="1650"/>
        <w:gridCol w:w="2825"/>
      </w:tblGrid>
      <w:tr>
        <w:trPr>
          <w:trHeight w:hRule="atLeast" w:val="300"/>
        </w:trPr>
        <w:tc>
          <w:tcPr>
            <w:tcW w:type="dxa" w:w="540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7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80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7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5699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D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650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7F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81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795"/>
        </w:trPr>
        <w:tc>
          <w:tcPr>
            <w:tcW w:type="dxa" w:w="540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80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83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85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87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1650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25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63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97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Операции с файлами и папками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прикладным программным обеспечением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63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B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Двоичное кодирование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Информационные процессы. Передача и хранение информации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Обработка информации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Системы, компоненты систем и их взаимодействие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счисления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63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Алгоритмы перевода чисел из P-ичной системы счисления в десятичную и обратно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Двоичная, восьмеричная и шестнадцатеричная системы счисления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36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целых и вещественных чисел в памяти компьютера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Кодирование текстов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Кодирование звука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290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36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Логические выражения. Таблицы истинности логических выражений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Логические операции и операции над множествами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Законы алгебры логики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90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36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"Теоретические основы информатики"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Текстовый процессор и его базовые возможности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63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Коллективная работа с документом. Правила оформления реферата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Растровая графика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Векторная графика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63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и преобразование аудиовизуальных объектов. Компьютерные презентации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2010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Принципы построения и редактирования трёхмерных моделей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217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3420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4475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ind/>
              <w:jc w:val="left"/>
              <w:rPr>
                <w:sz w:val="24"/>
              </w:rPr>
            </w:pPr>
          </w:p>
        </w:tc>
      </w:tr>
    </w:tbl>
    <w:p w14:paraId="7B020000">
      <w:pPr>
        <w:sectPr>
          <w:headerReference r:id="rId4" w:type="default"/>
          <w:pgSz w:h="11906" w:w="16383"/>
        </w:sectPr>
      </w:pPr>
    </w:p>
    <w:p w14:paraId="7C02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 xml:space="preserve"> 11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</w:tblPr>
      <w:tblGrid>
        <w:gridCol w:w="524"/>
        <w:gridCol w:w="3040"/>
        <w:gridCol w:w="1161"/>
        <w:gridCol w:w="2153"/>
        <w:gridCol w:w="2297"/>
        <w:gridCol w:w="1625"/>
        <w:gridCol w:w="2794"/>
      </w:tblGrid>
      <w:tr>
        <w:trPr>
          <w:trHeight w:hRule="atLeast" w:val="300"/>
        </w:trPr>
        <w:tc>
          <w:tcPr>
            <w:tcW w:type="dxa" w:w="524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7E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3040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80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5611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625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83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85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795"/>
        </w:trPr>
        <w:tc>
          <w:tcPr>
            <w:tcW w:type="dxa" w:w="524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040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87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89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8B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1625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794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271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240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Веб-сайт. Веб-страница. Взаимодействие браузера с веб-сервером. Динамические страницы. Разработка интернет-приложений (сайтов). Сетевое хранение данных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деятельности в сети Интернет. Сервисы Интернета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36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Сетевой этикет. Проблема подлинности полученной информации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63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Государственные электронные сервисы и услуги. Открытые образовательные ресурсы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920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Техногенные и экономические угрозы, связанные с использованием ИКТ. Защита информации и информационная безопасность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Вредоносное программное обеспечение и способы борьбы с ним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90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36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Деревья. Дискретные игры двух игроков с полной информацией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63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"Информационное моделирование"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алгоритмов. Этапы решения задач на компьютере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63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Язык программирования. Основные конструкции языка программирования. Типы данных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Циклы с условием. Циклы по переменной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81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63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1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Подпрограммы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данных. Основные задачи анализа данных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Последовательность решения задач анализа данных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данных с помощью электронных таблиц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готовой компьютерной моделью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Численное решение уравнений с помощью подбора параметра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Работа с готовой базой данных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365"/>
        </w:trPr>
        <w:tc>
          <w:tcPr>
            <w:tcW w:type="dxa" w:w="52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30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Перспективы развития компьютерных интеллектуальных систем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79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705"/>
        </w:trPr>
        <w:tc>
          <w:tcPr>
            <w:tcW w:type="dxa" w:w="3564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161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type="dxa" w:w="215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29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4419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ind/>
              <w:jc w:val="left"/>
              <w:rPr>
                <w:sz w:val="24"/>
              </w:rPr>
            </w:pPr>
          </w:p>
        </w:tc>
      </w:tr>
    </w:tbl>
    <w:p w14:paraId="7F030000">
      <w:pPr>
        <w:sectPr>
          <w:headerReference r:id="rId2" w:type="default"/>
          <w:pgSz w:h="11906" w:w="16383"/>
        </w:sectPr>
      </w:pPr>
    </w:p>
    <w:p w14:paraId="80030000">
      <w:pPr>
        <w:sectPr>
          <w:headerReference r:id="rId1" w:type="default"/>
          <w:pgSz w:h="11906" w:w="16383"/>
        </w:sectPr>
      </w:pPr>
    </w:p>
    <w:p w14:paraId="8103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УЧЕБНО-МЕТОДИЧЕСКОЕ ОБЕСПЕЧЕНИЕ ОБРАЗОВАТЕЛЬНОГО ПРОЦЕССА</w:t>
      </w:r>
    </w:p>
    <w:p w14:paraId="8203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ОБЯЗАТЕЛЬНЫЕ УЧЕБНЫЕ МАТЕРИАЛЫ ДЛЯ УЧЕНИКА</w:t>
      </w:r>
    </w:p>
    <w:p w14:paraId="8303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  <w:r>
        <w:rPr>
          <w:rFonts w:ascii="Times New Roman" w:hAnsi="Times New Roman"/>
          <w:b w:val="0"/>
          <w:i w:val="0"/>
          <w:color w:val="000000"/>
          <w:sz w:val="24"/>
        </w:rPr>
        <w:t>‌</w:t>
      </w:r>
      <w:r>
        <w:rPr>
          <w:rFonts w:ascii="Times New Roman" w:hAnsi="Times New Roman"/>
          <w:b w:val="0"/>
          <w:i w:val="0"/>
          <w:color w:val="000000"/>
          <w:sz w:val="24"/>
        </w:rPr>
        <w:t>‌</w:t>
      </w: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</w:p>
    <w:p w14:paraId="8403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  <w:r>
        <w:rPr>
          <w:rFonts w:ascii="Times New Roman" w:hAnsi="Times New Roman"/>
          <w:b w:val="0"/>
          <w:i w:val="0"/>
          <w:color w:val="000000"/>
          <w:sz w:val="24"/>
        </w:rPr>
        <w:t>‌</w:t>
      </w:r>
      <w:r>
        <w:rPr>
          <w:rFonts w:ascii="Times New Roman" w:hAnsi="Times New Roman"/>
          <w:b w:val="0"/>
          <w:i w:val="0"/>
          <w:color w:val="000000"/>
          <w:sz w:val="24"/>
        </w:rPr>
        <w:t>‌</w:t>
      </w:r>
    </w:p>
    <w:p w14:paraId="8503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</w:p>
    <w:p w14:paraId="8603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МЕТОДИЧЕСКИЕ МАТЕРИАЛЫ ДЛЯ УЧИТЕЛЯ</w:t>
      </w:r>
    </w:p>
    <w:p w14:paraId="8703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  <w:r>
        <w:rPr>
          <w:rFonts w:ascii="Times New Roman" w:hAnsi="Times New Roman"/>
          <w:b w:val="0"/>
          <w:i w:val="0"/>
          <w:color w:val="000000"/>
          <w:sz w:val="24"/>
        </w:rPr>
        <w:t>‌</w:t>
      </w:r>
      <w:r>
        <w:rPr>
          <w:rFonts w:ascii="Times New Roman" w:hAnsi="Times New Roman"/>
          <w:b w:val="0"/>
          <w:i w:val="0"/>
          <w:color w:val="000000"/>
          <w:sz w:val="24"/>
        </w:rPr>
        <w:t>‌</w:t>
      </w: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</w:p>
    <w:p w14:paraId="88030000">
      <w:pPr>
        <w:spacing w:after="0" w:before="0"/>
        <w:ind w:firstLine="0" w:left="120"/>
        <w:jc w:val="left"/>
        <w:rPr>
          <w:sz w:val="24"/>
        </w:rPr>
      </w:pPr>
    </w:p>
    <w:p w14:paraId="8903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ЦИФРОВЫЕ ОБРАЗОВАТЕЛЬНЫЕ РЕСУРСЫ И РЕСУРСЫ СЕТИ ИНТЕРНЕТ</w:t>
      </w:r>
    </w:p>
    <w:p w14:paraId="8A03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  <w:r>
        <w:rPr>
          <w:rFonts w:ascii="Times New Roman" w:hAnsi="Times New Roman"/>
          <w:b w:val="0"/>
          <w:i w:val="0"/>
          <w:color w:val="333333"/>
          <w:sz w:val="24"/>
        </w:rPr>
        <w:t>​</w:t>
      </w:r>
      <w:r>
        <w:rPr>
          <w:rFonts w:ascii="Times New Roman" w:hAnsi="Times New Roman"/>
          <w:b w:val="0"/>
          <w:i w:val="0"/>
          <w:color w:val="333333"/>
          <w:sz w:val="24"/>
        </w:rPr>
        <w:t>‌</w:t>
      </w:r>
      <w:r>
        <w:rPr>
          <w:rFonts w:ascii="Times New Roman" w:hAnsi="Times New Roman"/>
          <w:b w:val="0"/>
          <w:i w:val="0"/>
          <w:color w:val="333333"/>
          <w:sz w:val="24"/>
        </w:rPr>
        <w:t>‌</w:t>
      </w:r>
      <w:r>
        <w:rPr>
          <w:rFonts w:ascii="Times New Roman" w:hAnsi="Times New Roman"/>
          <w:b w:val="0"/>
          <w:i w:val="0"/>
          <w:color w:val="000000"/>
          <w:sz w:val="24"/>
        </w:rPr>
        <w:t>​</w:t>
      </w:r>
    </w:p>
    <w:p w14:paraId="8B030000">
      <w:pPr>
        <w:sectPr>
          <w:headerReference r:id="rId9" w:type="default"/>
          <w:pgSz w:h="16383" w:w="11906"/>
        </w:sectPr>
      </w:pPr>
    </w:p>
    <w:sectPr>
      <w:headerReference r:id="rId7" w:type="default"/>
      <w:pgSz w:h="16839" w:w="11907"/>
      <w:pgMar w:bottom="144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1000000"/>
</w:hdr>
</file>

<file path=word/header10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A000000"/>
</w:hdr>
</file>

<file path=word/header11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B000000"/>
</w:hdr>
</file>

<file path=word/header12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C000000"/>
</w:hdr>
</file>

<file path=word/header2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2000000"/>
</w:hdr>
</file>

<file path=word/header3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3000000"/>
</w:hdr>
</file>

<file path=word/header4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4000000"/>
</w:hdr>
</file>

<file path=word/header5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5000000"/>
</w:hdr>
</file>

<file path=word/header6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6000000"/>
</w:hdr>
</file>

<file path=word/header7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7000000"/>
</w:hdr>
</file>

<file path=word/header8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8000000"/>
</w:hdr>
</file>

<file path=word/header9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9000000"/>
</w:hdr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20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toc 4"/>
    <w:link w:val="Style_4_ch"/>
    <w:uiPriority w:val="39"/>
    <w:pPr>
      <w:ind w:firstLine="0" w:left="600"/>
    </w:pPr>
  </w:style>
  <w:style w:styleId="Style_4_ch" w:type="character">
    <w:name w:val="toc 4"/>
    <w:link w:val="Style_4"/>
  </w:style>
  <w:style w:styleId="Style_5" w:type="paragraph">
    <w:name w:val="toc 6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Emphasis"/>
    <w:basedOn w:val="Style_8"/>
    <w:link w:val="Style_7_ch"/>
    <w:rPr>
      <w:i w:val="1"/>
    </w:rPr>
  </w:style>
  <w:style w:styleId="Style_7_ch" w:type="character">
    <w:name w:val="Emphasis"/>
    <w:basedOn w:val="Style_8_ch"/>
    <w:link w:val="Style_7"/>
    <w:rPr>
      <w:i w:val="1"/>
    </w:rPr>
  </w:style>
  <w:style w:styleId="Style_9" w:type="paragraph">
    <w:name w:val="header"/>
    <w:basedOn w:val="Style_2"/>
    <w:link w:val="Style_9_ch"/>
    <w:pPr>
      <w:tabs>
        <w:tab w:leader="none" w:pos="4680" w:val="center"/>
        <w:tab w:leader="none" w:pos="9360" w:val="right"/>
      </w:tabs>
      <w:ind/>
    </w:pPr>
  </w:style>
  <w:style w:styleId="Style_9_ch" w:type="character">
    <w:name w:val="header"/>
    <w:basedOn w:val="Style_2_ch"/>
    <w:link w:val="Style_9"/>
  </w:style>
  <w:style w:styleId="Style_10" w:type="paragraph">
    <w:name w:val="heading 3"/>
    <w:basedOn w:val="Style_2"/>
    <w:next w:val="Style_2"/>
    <w:link w:val="Style_10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000000"/>
    </w:rPr>
  </w:style>
  <w:style w:styleId="Style_10_ch" w:type="character">
    <w:name w:val="heading 3"/>
    <w:basedOn w:val="Style_2_ch"/>
    <w:link w:val="Style_10"/>
    <w:rPr>
      <w:rFonts w:asciiTheme="majorAscii" w:hAnsiTheme="majorHAnsi"/>
      <w:b w:val="1"/>
      <w:color w:themeColor="accent1" w:val="000000"/>
    </w:rPr>
  </w:style>
  <w:style w:styleId="Style_11" w:type="paragraph">
    <w:name w:val="Normal Indent"/>
    <w:basedOn w:val="Style_2"/>
    <w:link w:val="Style_11_ch"/>
    <w:pPr>
      <w:ind w:firstLine="0" w:left="720"/>
    </w:pPr>
  </w:style>
  <w:style w:styleId="Style_11_ch" w:type="character">
    <w:name w:val="Normal Indent"/>
    <w:basedOn w:val="Style_2_ch"/>
    <w:link w:val="Style_11"/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12" w:type="paragraph">
    <w:name w:val="caption"/>
    <w:basedOn w:val="Style_2"/>
    <w:next w:val="Style_2"/>
    <w:link w:val="Style_12_ch"/>
    <w:pPr>
      <w:spacing w:line="240" w:lineRule="auto"/>
      <w:ind/>
    </w:pPr>
    <w:rPr>
      <w:b w:val="1"/>
      <w:color w:themeColor="accent1" w:val="000000"/>
      <w:sz w:val="18"/>
    </w:rPr>
  </w:style>
  <w:style w:styleId="Style_12_ch" w:type="character">
    <w:name w:val="caption"/>
    <w:basedOn w:val="Style_2_ch"/>
    <w:link w:val="Style_12"/>
    <w:rPr>
      <w:b w:val="1"/>
      <w:color w:themeColor="accent1" w:val="000000"/>
      <w:sz w:val="18"/>
    </w:rPr>
  </w:style>
  <w:style w:styleId="Style_13" w:type="paragraph">
    <w:name w:val="toc 3"/>
    <w:link w:val="Style_13_ch"/>
    <w:uiPriority w:val="39"/>
    <w:pPr>
      <w:ind w:firstLine="0" w:left="400"/>
    </w:pPr>
  </w:style>
  <w:style w:styleId="Style_13_ch" w:type="character">
    <w:name w:val="toc 3"/>
    <w:link w:val="Style_13"/>
  </w:style>
  <w:style w:styleId="Style_14" w:type="paragraph">
    <w:name w:val="heading 5"/>
    <w:link w:val="Style_14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4_ch" w:type="character">
    <w:name w:val="heading 5"/>
    <w:link w:val="Style_14"/>
    <w:rPr>
      <w:rFonts w:ascii="XO Thames" w:hAnsi="XO Thames"/>
      <w:b w:val="1"/>
      <w:color w:val="000000"/>
      <w:sz w:val="22"/>
    </w:rPr>
  </w:style>
  <w:style w:styleId="Style_15" w:type="paragraph">
    <w:name w:val="heading 1"/>
    <w:basedOn w:val="Style_2"/>
    <w:next w:val="Style_2"/>
    <w:link w:val="Style_15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000000"/>
      <w:sz w:val="28"/>
    </w:rPr>
  </w:style>
  <w:style w:styleId="Style_15_ch" w:type="character">
    <w:name w:val="heading 1"/>
    <w:basedOn w:val="Style_2_ch"/>
    <w:link w:val="Style_15"/>
    <w:rPr>
      <w:rFonts w:asciiTheme="majorAscii" w:hAnsiTheme="majorHAnsi"/>
      <w:b w:val="1"/>
      <w:color w:themeColor="accent1" w:themeShade="BF" w:val="000000"/>
      <w:sz w:val="28"/>
    </w:rPr>
  </w:style>
  <w:style w:styleId="Style_16" w:type="paragraph">
    <w:name w:val="Hyperlink"/>
    <w:basedOn w:val="Style_8"/>
    <w:link w:val="Style_16_ch"/>
    <w:rPr>
      <w:color w:themeColor="hyperlink" w:val="000000"/>
      <w:u w:val="single"/>
    </w:rPr>
  </w:style>
  <w:style w:styleId="Style_16_ch" w:type="character">
    <w:name w:val="Hyperlink"/>
    <w:basedOn w:val="Style_8_ch"/>
    <w:link w:val="Style_16"/>
    <w:rPr>
      <w:color w:themeColor="hyperlink" w:val="000000"/>
      <w:u w:val="single"/>
    </w:rPr>
  </w:style>
  <w:style w:styleId="Style_17" w:type="paragraph">
    <w:name w:val="Footnote"/>
    <w:link w:val="Style_17_ch"/>
    <w:pPr>
      <w:ind/>
      <w:jc w:val="left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link w:val="Style_18_ch"/>
    <w:uiPriority w:val="39"/>
    <w:pPr>
      <w:ind w:firstLine="0" w:left="0"/>
    </w:pPr>
    <w:rPr>
      <w:rFonts w:ascii="XO Thames" w:hAnsi="XO Thames"/>
      <w:b w:val="1"/>
    </w:rPr>
  </w:style>
  <w:style w:styleId="Style_18_ch" w:type="character">
    <w:name w:val="toc 1"/>
    <w:link w:val="Style_18"/>
    <w:rPr>
      <w:rFonts w:ascii="XO Thames" w:hAnsi="XO Thames"/>
      <w:b w:val="1"/>
    </w:rPr>
  </w:style>
  <w:style w:styleId="Style_19" w:type="paragraph">
    <w:name w:val="Header and Footer"/>
    <w:link w:val="Style_19_ch"/>
    <w:pPr>
      <w:spacing w:line="360" w:lineRule="auto"/>
      <w:ind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link w:val="Style_20_ch"/>
    <w:uiPriority w:val="39"/>
    <w:pPr>
      <w:ind w:firstLine="0" w:left="1600"/>
    </w:pPr>
  </w:style>
  <w:style w:styleId="Style_20_ch" w:type="character">
    <w:name w:val="toc 9"/>
    <w:link w:val="Style_20"/>
  </w:style>
  <w:style w:styleId="Style_21" w:type="paragraph">
    <w:name w:val="toc 8"/>
    <w:link w:val="Style_21_ch"/>
    <w:uiPriority w:val="39"/>
    <w:pPr>
      <w:ind w:firstLine="0" w:left="1400"/>
    </w:pPr>
  </w:style>
  <w:style w:styleId="Style_21_ch" w:type="character">
    <w:name w:val="toc 8"/>
    <w:link w:val="Style_21"/>
  </w:style>
  <w:style w:styleId="Style_22" w:type="paragraph">
    <w:name w:val="toc 5"/>
    <w:link w:val="Style_22_ch"/>
    <w:uiPriority w:val="39"/>
    <w:pPr>
      <w:ind w:firstLine="0" w:left="800"/>
    </w:pPr>
  </w:style>
  <w:style w:styleId="Style_22_ch" w:type="character">
    <w:name w:val="toc 5"/>
    <w:link w:val="Style_22"/>
  </w:style>
  <w:style w:styleId="Style_23" w:type="paragraph">
    <w:name w:val="Subtitle"/>
    <w:basedOn w:val="Style_2"/>
    <w:next w:val="Style_2"/>
    <w:link w:val="Style_23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000000"/>
      <w:spacing w:val="15"/>
      <w:sz w:val="24"/>
    </w:rPr>
  </w:style>
  <w:style w:styleId="Style_23_ch" w:type="character">
    <w:name w:val="Subtitle"/>
    <w:basedOn w:val="Style_2_ch"/>
    <w:link w:val="Style_23"/>
    <w:rPr>
      <w:rFonts w:asciiTheme="majorAscii" w:hAnsiTheme="majorHAnsi"/>
      <w:i w:val="1"/>
      <w:color w:themeColor="accent1" w:val="000000"/>
      <w:spacing w:val="15"/>
      <w:sz w:val="24"/>
    </w:rPr>
  </w:style>
  <w:style w:styleId="Style_24" w:type="paragraph">
    <w:name w:val="toc 10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5" w:type="paragraph">
    <w:name w:val="Title"/>
    <w:basedOn w:val="Style_2"/>
    <w:next w:val="Style_2"/>
    <w:link w:val="Style_25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000000"/>
      <w:spacing w:val="5"/>
      <w:sz w:val="52"/>
    </w:rPr>
  </w:style>
  <w:style w:styleId="Style_25_ch" w:type="character">
    <w:name w:val="Title"/>
    <w:basedOn w:val="Style_2_ch"/>
    <w:link w:val="Style_25"/>
    <w:rPr>
      <w:rFonts w:asciiTheme="majorAscii" w:hAnsiTheme="majorHAnsi"/>
      <w:color w:themeColor="text2" w:themeShade="BF" w:val="000000"/>
      <w:spacing w:val="5"/>
      <w:sz w:val="52"/>
    </w:rPr>
  </w:style>
  <w:style w:styleId="Style_26" w:type="paragraph">
    <w:name w:val="heading 4"/>
    <w:basedOn w:val="Style_2"/>
    <w:next w:val="Style_2"/>
    <w:link w:val="Style_26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000000"/>
    </w:rPr>
  </w:style>
  <w:style w:styleId="Style_26_ch" w:type="character">
    <w:name w:val="heading 4"/>
    <w:basedOn w:val="Style_2_ch"/>
    <w:link w:val="Style_26"/>
    <w:rPr>
      <w:rFonts w:asciiTheme="majorAscii" w:hAnsiTheme="majorHAnsi"/>
      <w:b w:val="1"/>
      <w:i w:val="1"/>
      <w:color w:themeColor="accent1" w:val="000000"/>
    </w:rPr>
  </w:style>
  <w:style w:styleId="Style_27" w:type="paragraph">
    <w:name w:val="heading 2"/>
    <w:basedOn w:val="Style_2"/>
    <w:next w:val="Style_2"/>
    <w:link w:val="Style_27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000000"/>
      <w:sz w:val="26"/>
    </w:rPr>
  </w:style>
  <w:style w:styleId="Style_27_ch" w:type="character">
    <w:name w:val="heading 2"/>
    <w:basedOn w:val="Style_2_ch"/>
    <w:link w:val="Style_27"/>
    <w:rPr>
      <w:rFonts w:asciiTheme="majorAscii" w:hAnsiTheme="majorHAnsi"/>
      <w:b w:val="1"/>
      <w:color w:themeColor="accent1" w:val="000000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8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9" Target="theme/theme1.xml" Type="http://schemas.openxmlformats.org/officeDocument/2006/relationships/theme"/>
  <Relationship Id="rId18" Target="webSettings.xml" Type="http://schemas.openxmlformats.org/officeDocument/2006/relationships/webSettings"/>
  <Relationship Id="rId17" Target="stylesWithEffects.xml" Type="http://schemas.microsoft.com/office/2007/relationships/stylesWithEffects"/>
  <Relationship Id="rId15" Target="settings.xml" Type="http://schemas.openxmlformats.org/officeDocument/2006/relationships/settings"/>
  <Relationship Id="rId11" Target="header11.xml" Type="http://schemas.openxmlformats.org/officeDocument/2006/relationships/header"/>
  <Relationship Id="rId16" Target="styles.xml" Type="http://schemas.openxmlformats.org/officeDocument/2006/relationships/styles"/>
  <Relationship Id="rId10" Target="header10.xml" Type="http://schemas.openxmlformats.org/officeDocument/2006/relationships/header"/>
  <Relationship Id="rId7" Target="header7.xml" Type="http://schemas.openxmlformats.org/officeDocument/2006/relationships/header"/>
  <Relationship Id="rId14" Target="fontTable.xml" Type="http://schemas.openxmlformats.org/officeDocument/2006/relationships/fontTable"/>
  <Relationship Id="rId6" Target="header6.xml" Type="http://schemas.openxmlformats.org/officeDocument/2006/relationships/header"/>
  <Relationship Id="rId13" Target="media/1.png" Type="http://schemas.openxmlformats.org/officeDocument/2006/relationships/image"/>
  <Relationship Id="rId5" Target="header5.xml" Type="http://schemas.openxmlformats.org/officeDocument/2006/relationships/header"/>
  <Relationship Id="rId9" Target="header9.xml" Type="http://schemas.openxmlformats.org/officeDocument/2006/relationships/header"/>
  <Relationship Id="rId4" Target="header4.xml" Type="http://schemas.openxmlformats.org/officeDocument/2006/relationships/header"/>
  <Relationship Id="rId8" Target="header8.xml" Type="http://schemas.openxmlformats.org/officeDocument/2006/relationships/header"/>
  <Relationship Id="rId3" Target="header3.xml" Type="http://schemas.openxmlformats.org/officeDocument/2006/relationships/header"/>
  <Relationship Id="rId12" Target="header12.xml" Type="http://schemas.openxmlformats.org/officeDocument/2006/relationships/header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>
          <a:solidFill>
            <a:schemeClr val="phClr">
              <a:shade val="95%"/>
              <a:satMod val="105%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