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9000000">
      <w:r>
        <w:drawing>
          <wp:inline>
            <wp:extent cx="6480301" cy="9163878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tretch/>
                  </pic:blipFill>
                  <pic:spPr>
                    <a:xfrm rot="0">
                      <a:off x="0" y="0"/>
                      <a:ext cx="6480301" cy="91638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headerReference r:id="rId6" w:type="default"/>
          <w:pgSz w:h="16383" w:w="11906"/>
        </w:sectPr>
      </w:pPr>
    </w:p>
    <w:p w14:paraId="0B000000">
      <w:pPr>
        <w:spacing w:after="0" w:before="0"/>
        <w:ind w:firstLine="0" w:left="120"/>
        <w:jc w:val="center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ПОЯСНИТЕЛЬНАЯ ЗАПИСКА</w:t>
      </w:r>
    </w:p>
    <w:p w14:paraId="0C000000">
      <w:pPr>
        <w:spacing w:after="0" w:before="0"/>
        <w:ind w:firstLine="0" w:left="120"/>
        <w:jc w:val="both"/>
        <w:rPr>
          <w:sz w:val="24"/>
        </w:rPr>
      </w:pPr>
    </w:p>
    <w:p w14:paraId="0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0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0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Информатика на уровне среднего общего образования отражает:</w:t>
      </w:r>
    </w:p>
    <w:p w14:paraId="1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1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1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междисциплинарный характер информатики и информационной деятельности.</w:t>
      </w:r>
    </w:p>
    <w:p w14:paraId="1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1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 содержании учебного предмета «Информатика» выделяются четыре тематических раздела.</w:t>
      </w:r>
    </w:p>
    <w:p w14:paraId="1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1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14:paraId="1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1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1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1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1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1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1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1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1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основ логического и алгоритмического мышления;</w:t>
      </w:r>
    </w:p>
    <w:p w14:paraId="2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2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2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2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2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‌</w:t>
      </w:r>
      <w:bookmarkStart w:id="1" w:name="6d191c0f-7a0e-48a8-b80d-063d85de251e"/>
      <w:bookmarkEnd w:id="1"/>
      <w:r>
        <w:rPr>
          <w:rFonts w:ascii="Times New Roman" w:hAnsi="Times New Roman"/>
          <w:b w:val="0"/>
          <w:i w:val="0"/>
          <w:color w:val="000000"/>
          <w:sz w:val="24"/>
        </w:rPr>
        <w:t>На изучение информатики (базовый уровень) отводится 68 часов</w:t>
      </w:r>
      <w:r>
        <w:rPr>
          <w:rFonts w:ascii="Times New Roman" w:hAnsi="Times New Roman"/>
          <w:b w:val="0"/>
          <w:i w:val="0"/>
          <w:color w:val="000000"/>
          <w:sz w:val="24"/>
        </w:rPr>
        <w:t>.</w:t>
      </w:r>
    </w:p>
    <w:p w14:paraId="2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2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27000000">
      <w:pPr>
        <w:sectPr>
          <w:headerReference r:id="rId5" w:type="default"/>
          <w:pgSz w:h="16383" w:w="11906"/>
        </w:sectPr>
      </w:pPr>
    </w:p>
    <w:p w14:paraId="28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СОДЕРЖАНИЕ ОБУЧЕНИЯ</w:t>
      </w:r>
    </w:p>
    <w:p w14:paraId="29000000">
      <w:pPr>
        <w:spacing w:after="0" w:before="0"/>
        <w:ind w:firstLine="0" w:left="120"/>
        <w:jc w:val="both"/>
        <w:rPr>
          <w:sz w:val="24"/>
        </w:rPr>
      </w:pPr>
    </w:p>
    <w:p w14:paraId="2A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10 КЛАСС</w:t>
      </w:r>
    </w:p>
    <w:p w14:paraId="2B000000">
      <w:pPr>
        <w:spacing w:after="0" w:before="0"/>
        <w:ind w:firstLine="0" w:left="120"/>
        <w:jc w:val="both"/>
        <w:rPr>
          <w:sz w:val="24"/>
        </w:rPr>
      </w:pPr>
    </w:p>
    <w:p w14:paraId="2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Цифровая грамотность</w:t>
      </w:r>
    </w:p>
    <w:p w14:paraId="2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2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2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3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3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3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3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3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Теоретические основы информатики</w:t>
      </w:r>
    </w:p>
    <w:p w14:paraId="3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3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3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3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3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Представление целых и вещественных чисел в памяти компьютера. </w:t>
      </w:r>
    </w:p>
    <w:p w14:paraId="3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Кодирование текстов. Кодировка ASCII. Однобайтные кодировки. Стандарт UNICODE. Кодировка UTF-8. Определение информационного объёма текстовых сообщений.</w:t>
      </w:r>
    </w:p>
    <w:p w14:paraId="3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3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3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3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3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Информационные технологии</w:t>
      </w:r>
    </w:p>
    <w:p w14:paraId="4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4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4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Обработка изображения и звука с использованием интернет-приложений.</w:t>
      </w:r>
    </w:p>
    <w:p w14:paraId="4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4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Принципы построения и ред</w:t>
      </w:r>
      <w:r>
        <w:rPr>
          <w:rFonts w:ascii="Times New Roman" w:hAnsi="Times New Roman"/>
          <w:b w:val="0"/>
          <w:i w:val="0"/>
          <w:color w:val="000000"/>
          <w:sz w:val="24"/>
        </w:rPr>
        <w:t>актирования трёхмерных моделей.</w:t>
      </w:r>
    </w:p>
    <w:p w14:paraId="45000000">
      <w:pPr>
        <w:sectPr>
          <w:headerReference r:id="rId1" w:type="default"/>
          <w:pgSz w:h="16383" w:w="11906"/>
        </w:sectPr>
      </w:pPr>
    </w:p>
    <w:p w14:paraId="46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14:paraId="47000000">
      <w:pPr>
        <w:spacing w:after="0" w:before="0"/>
        <w:ind w:firstLine="0" w:left="120"/>
        <w:jc w:val="both"/>
        <w:rPr>
          <w:sz w:val="24"/>
        </w:rPr>
      </w:pPr>
    </w:p>
    <w:p w14:paraId="48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ЛИЧНОСТНЫЕ РЕЗУЛЬТАТЫ</w:t>
      </w:r>
    </w:p>
    <w:p w14:paraId="49000000">
      <w:pPr>
        <w:spacing w:after="0" w:before="0"/>
        <w:ind w:firstLine="0" w:left="120"/>
        <w:jc w:val="both"/>
        <w:rPr>
          <w:sz w:val="24"/>
        </w:rPr>
      </w:pPr>
    </w:p>
    <w:p w14:paraId="4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4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гражданского воспитания:</w:t>
      </w:r>
    </w:p>
    <w:p w14:paraId="4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4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4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патриотического воспитания:</w:t>
      </w:r>
    </w:p>
    <w:p w14:paraId="4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5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3) духовно-нравственного воспитания:</w:t>
      </w:r>
    </w:p>
    <w:p w14:paraId="5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сформированность нравственного сознания, этического поведения; </w:t>
      </w:r>
    </w:p>
    <w:p w14:paraId="5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5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4) эстетического воспитания:</w:t>
      </w:r>
    </w:p>
    <w:p w14:paraId="5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эстетическое отношение к миру, включая эстетику научного и технического творчества;</w:t>
      </w:r>
    </w:p>
    <w:p w14:paraId="5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5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5) физического воспитания:</w:t>
      </w:r>
    </w:p>
    <w:p w14:paraId="5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14:paraId="5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6) трудового воспитания:</w:t>
      </w:r>
    </w:p>
    <w:p w14:paraId="5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5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5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готовность и способность к образованию и самообразованию на протяжении всей жизни;</w:t>
      </w:r>
    </w:p>
    <w:p w14:paraId="5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7) экологического воспитания:</w:t>
      </w:r>
    </w:p>
    <w:p w14:paraId="5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5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8) ценности научного познания:</w:t>
      </w:r>
    </w:p>
    <w:p w14:paraId="5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6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6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6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63000000">
      <w:r>
        <w:rPr>
          <w:rFonts w:ascii="Times New Roman" w:hAnsi="Times New Roman"/>
          <w:b w:val="1"/>
          <w:i w:val="0"/>
          <w:color w:val="000000"/>
          <w:sz w:val="24"/>
        </w:rPr>
        <w:t xml:space="preserve"> </w:t>
      </w:r>
    </w:p>
    <w:p w14:paraId="6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6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6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67000000">
      <w:pPr>
        <w:spacing w:after="0" w:before="0"/>
        <w:ind w:firstLine="0" w:left="120"/>
        <w:jc w:val="both"/>
        <w:rPr>
          <w:sz w:val="24"/>
        </w:rPr>
      </w:pPr>
    </w:p>
    <w:p w14:paraId="68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МЕТАПРЕДМЕТНЫЕ РЕЗУЛЬТАТЫ</w:t>
      </w:r>
    </w:p>
    <w:p w14:paraId="69000000">
      <w:pPr>
        <w:spacing w:after="0" w:before="0"/>
        <w:ind w:firstLine="0" w:left="120"/>
        <w:jc w:val="both"/>
        <w:rPr>
          <w:sz w:val="24"/>
        </w:rPr>
      </w:pPr>
    </w:p>
    <w:p w14:paraId="6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6B000000">
      <w:pPr>
        <w:spacing w:after="0" w:before="0"/>
        <w:ind w:firstLine="0" w:left="120"/>
        <w:jc w:val="both"/>
        <w:rPr>
          <w:sz w:val="24"/>
        </w:rPr>
      </w:pPr>
    </w:p>
    <w:p w14:paraId="6C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Познавательные универсальные учебные действия</w:t>
      </w:r>
    </w:p>
    <w:p w14:paraId="6D000000">
      <w:pPr>
        <w:spacing w:after="0" w:before="0"/>
        <w:ind w:firstLine="0" w:left="120"/>
        <w:jc w:val="both"/>
        <w:rPr>
          <w:sz w:val="24"/>
        </w:rPr>
      </w:pPr>
    </w:p>
    <w:p w14:paraId="6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базовые логические действия:</w:t>
      </w:r>
    </w:p>
    <w:p w14:paraId="6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самостоятельно формулировать и актуализировать проблему, рассматривать её всесторонне; </w:t>
      </w:r>
    </w:p>
    <w:p w14:paraId="7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устанавливать существенный признак или основания для сравнения, классификации и обобщения;</w:t>
      </w:r>
    </w:p>
    <w:p w14:paraId="7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определять цели деятельности, задавать параметры и критерии их достижения;</w:t>
      </w:r>
    </w:p>
    <w:p w14:paraId="7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выявлять закономерности и противоречия в рассматриваемых явлениях; </w:t>
      </w:r>
    </w:p>
    <w:p w14:paraId="7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разрабатывать план решения проблемы с учётом анализа имеющихся материальных и нематериальных ресурсов;</w:t>
      </w:r>
    </w:p>
    <w:p w14:paraId="7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7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7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развивать креативное мышление при решении жизненных проблем.</w:t>
      </w:r>
    </w:p>
    <w:p w14:paraId="7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базовые исследовательские действия:</w:t>
      </w:r>
    </w:p>
    <w:p w14:paraId="7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7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7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формирование научного типа мышления, владение научной терминологией, ключевыми понятиями и методами;</w:t>
      </w:r>
    </w:p>
    <w:p w14:paraId="7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ставить и формулировать собственные задачи в образовательной деятельности и жизненных ситуациях;</w:t>
      </w:r>
    </w:p>
    <w:p w14:paraId="7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7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7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давать оценку новым ситуациям, оценивать приобретённый опыт;</w:t>
      </w:r>
    </w:p>
    <w:p w14:paraId="7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осуществлять целенаправленный поиск переноса средств и способов действия в профессиональную среду;</w:t>
      </w:r>
    </w:p>
    <w:p w14:paraId="8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переносить знания в познавательную и практическую области жизнедеятельности;</w:t>
      </w:r>
    </w:p>
    <w:p w14:paraId="8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интегрировать знания из разных предметных областей; </w:t>
      </w:r>
    </w:p>
    <w:p w14:paraId="8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8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3) работа с информацией:</w:t>
      </w:r>
    </w:p>
    <w:p w14:paraId="8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8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8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8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8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навыками распознавания и защиты информации, информационной безопасности личности.</w:t>
      </w:r>
    </w:p>
    <w:p w14:paraId="89000000">
      <w:pPr>
        <w:spacing w:after="0" w:before="0"/>
        <w:ind w:firstLine="0" w:left="120"/>
        <w:jc w:val="both"/>
        <w:rPr>
          <w:sz w:val="24"/>
        </w:rPr>
      </w:pPr>
    </w:p>
    <w:p w14:paraId="8A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Коммуникативные универсальные учебные действия</w:t>
      </w:r>
    </w:p>
    <w:p w14:paraId="8B000000">
      <w:pPr>
        <w:spacing w:after="0" w:before="0"/>
        <w:ind w:firstLine="0" w:left="120"/>
        <w:jc w:val="both"/>
        <w:rPr>
          <w:sz w:val="24"/>
        </w:rPr>
      </w:pPr>
    </w:p>
    <w:p w14:paraId="8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общение:</w:t>
      </w:r>
    </w:p>
    <w:p w14:paraId="8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осуществлять коммуникации во всех сферах жизни;</w:t>
      </w:r>
    </w:p>
    <w:p w14:paraId="8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8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различными способами общения и взаимодействия, аргументированно вести диалог;</w:t>
      </w:r>
    </w:p>
    <w:p w14:paraId="9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развёрнуто и логично излагать свою точку зрения.</w:t>
      </w:r>
    </w:p>
    <w:p w14:paraId="9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совместная деятельность:</w:t>
      </w:r>
    </w:p>
    <w:p w14:paraId="9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понимать и использовать преимущества командной и индивидуальной работы;</w:t>
      </w:r>
    </w:p>
    <w:p w14:paraId="9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9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9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план действий, распределять роли с учётом мнений участников, обсуждать результаты совместной работы;</w:t>
      </w:r>
    </w:p>
    <w:p w14:paraId="9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9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предлагать новые проекты, оценивать идеи с позиции новизны, оригинальности, практической значимости;</w:t>
      </w:r>
    </w:p>
    <w:p w14:paraId="9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99000000">
      <w:pPr>
        <w:spacing w:after="0" w:before="0"/>
        <w:ind w:firstLine="0" w:left="120"/>
        <w:jc w:val="both"/>
        <w:rPr>
          <w:sz w:val="24"/>
        </w:rPr>
      </w:pPr>
    </w:p>
    <w:p w14:paraId="9A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Регулятивные универсальные учебные действия</w:t>
      </w:r>
    </w:p>
    <w:p w14:paraId="9B000000">
      <w:pPr>
        <w:spacing w:after="0" w:before="0"/>
        <w:ind w:firstLine="0" w:left="120"/>
        <w:jc w:val="both"/>
        <w:rPr>
          <w:sz w:val="24"/>
        </w:rPr>
      </w:pPr>
    </w:p>
    <w:p w14:paraId="9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1) самоорганизация:</w:t>
      </w:r>
    </w:p>
    <w:p w14:paraId="9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9E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9F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давать оценку новым ситуациям;</w:t>
      </w:r>
    </w:p>
    <w:p w14:paraId="A0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расширять рамки учебного предмета на основе личных предпочтений;</w:t>
      </w:r>
    </w:p>
    <w:p w14:paraId="A1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делать осознанный выбор, аргументировать его, брать ответственность за решение;</w:t>
      </w:r>
    </w:p>
    <w:p w14:paraId="A2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оценивать приобретённый опыт;</w:t>
      </w:r>
    </w:p>
    <w:p w14:paraId="A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A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2) самоконтроль:</w:t>
      </w:r>
    </w:p>
    <w:p w14:paraId="A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A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A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оценивать риски и своевременно принимать решения по их снижению;</w:t>
      </w:r>
    </w:p>
    <w:p w14:paraId="A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мотивы и аргументы других при анализе результатов деятельности.</w:t>
      </w:r>
    </w:p>
    <w:p w14:paraId="A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>3) принятия себя и других:</w:t>
      </w:r>
    </w:p>
    <w:p w14:paraId="A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себя, понимая свои недостатки и достоинства;</w:t>
      </w:r>
    </w:p>
    <w:p w14:paraId="A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принимать мотивы и аргументы других при анализе результатов деятельности;</w:t>
      </w:r>
    </w:p>
    <w:p w14:paraId="A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признавать своё право и право других на ошибку;</w:t>
      </w:r>
    </w:p>
    <w:p w14:paraId="A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развивать способность понимать мир с позиции другого человека.</w:t>
      </w:r>
    </w:p>
    <w:p w14:paraId="AE000000">
      <w:pPr>
        <w:spacing w:after="0" w:before="0"/>
        <w:ind w:firstLine="0" w:left="120"/>
        <w:jc w:val="both"/>
        <w:rPr>
          <w:sz w:val="24"/>
        </w:rPr>
      </w:pPr>
    </w:p>
    <w:p w14:paraId="AF000000">
      <w:pPr>
        <w:spacing w:after="0" w:before="0"/>
        <w:ind w:firstLine="0" w:left="120"/>
        <w:jc w:val="both"/>
        <w:rPr>
          <w:sz w:val="24"/>
        </w:rPr>
      </w:pPr>
    </w:p>
    <w:p w14:paraId="B0000000">
      <w:pPr>
        <w:spacing w:after="0" w:before="0"/>
        <w:ind w:firstLine="0" w:left="120"/>
        <w:jc w:val="both"/>
        <w:rPr>
          <w:sz w:val="24"/>
        </w:rPr>
      </w:pPr>
    </w:p>
    <w:p w14:paraId="B1000000">
      <w:pPr>
        <w:spacing w:after="0" w:before="0"/>
        <w:ind w:firstLine="0" w:left="120"/>
        <w:jc w:val="both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  ПРЕДМЕТНЫЕ РЕЗУЛЬТАТЫ</w:t>
      </w:r>
    </w:p>
    <w:p w14:paraId="B2000000">
      <w:pPr>
        <w:spacing w:after="0" w:before="0"/>
        <w:ind w:firstLine="0" w:left="120"/>
        <w:jc w:val="both"/>
        <w:rPr>
          <w:sz w:val="24"/>
        </w:rPr>
      </w:pPr>
    </w:p>
    <w:p w14:paraId="B3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 w:val="1"/>
          <w:i w:val="1"/>
          <w:color w:val="000000"/>
          <w:sz w:val="24"/>
        </w:rPr>
        <w:t>в 10 классе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обучающимися будут достигнуты следующие предметные результаты:</w:t>
      </w:r>
    </w:p>
    <w:p w14:paraId="B4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B5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B6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B7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B8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B9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BA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BB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BC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BD000000">
      <w:pPr>
        <w:spacing w:after="0" w:before="0"/>
        <w:ind w:firstLine="600" w:left="0"/>
        <w:jc w:val="both"/>
        <w:rPr>
          <w:sz w:val="24"/>
        </w:rPr>
      </w:pPr>
      <w:r>
        <w:rPr>
          <w:rFonts w:ascii="Times New Roman" w:hAnsi="Times New Roman"/>
          <w:b w:val="0"/>
          <w:i w:val="0"/>
          <w:color w:val="000000"/>
          <w:sz w:val="24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BE000000">
      <w:pPr>
        <w:sectPr>
          <w:headerReference r:id="rId7" w:type="default"/>
          <w:pgSz w:h="16383" w:w="11906"/>
        </w:sectPr>
      </w:pPr>
    </w:p>
    <w:p w14:paraId="BF00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ТЕМАТИЧЕСКОЕ ПЛАНИРОВАНИЕ </w:t>
      </w:r>
    </w:p>
    <w:p w14:paraId="C000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10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</w:tblPr>
      <w:tblGrid>
        <w:gridCol w:w="743"/>
        <w:gridCol w:w="2400"/>
        <w:gridCol w:w="1445"/>
        <w:gridCol w:w="2484"/>
        <w:gridCol w:w="2605"/>
        <w:gridCol w:w="3917"/>
      </w:tblGrid>
      <w:tr>
        <w:trPr>
          <w:trHeight w:hRule="atLeast" w:val="300"/>
        </w:trPr>
        <w:tc>
          <w:tcPr>
            <w:tcW w:type="dxa" w:w="743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1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C2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40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3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C4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6534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5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917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6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C7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70"/>
        </w:trPr>
        <w:tc>
          <w:tcPr>
            <w:tcW w:type="dxa" w:w="743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40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8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C9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A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CB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C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CD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3917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E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Цифровая грамотность</w:t>
            </w:r>
          </w:p>
        </w:tc>
      </w:tr>
      <w:tr>
        <w:trPr>
          <w:trHeight w:hRule="atLeast" w:val="163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F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0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1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4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 </w:t>
            </w:r>
          </w:p>
        </w:tc>
        <w:tc>
          <w:tcPr>
            <w:tcW w:type="dxa" w:w="900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8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Теоретические основы информатики</w:t>
            </w: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A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B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42</w:t>
            </w:r>
          </w:p>
        </w:tc>
        <w:tc>
          <w:tcPr>
            <w:tcW w:type="dxa" w:w="900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Информационные технологии</w:t>
            </w:r>
          </w:p>
        </w:tc>
      </w:tr>
      <w:tr>
        <w:trPr>
          <w:trHeight w:hRule="atLeast" w:val="1635"/>
        </w:trPr>
        <w:tc>
          <w:tcPr>
            <w:tcW w:type="dxa" w:w="74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type="dxa" w:w="240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9006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ind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3143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44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2484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260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391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ind/>
              <w:jc w:val="left"/>
              <w:rPr>
                <w:sz w:val="24"/>
              </w:rPr>
            </w:pPr>
          </w:p>
        </w:tc>
      </w:tr>
    </w:tbl>
    <w:p w14:paraId="FD000000">
      <w:pPr>
        <w:sectPr>
          <w:headerReference r:id="rId3" w:type="default"/>
          <w:pgSz w:h="11906" w:w="16383"/>
        </w:sectPr>
      </w:pPr>
    </w:p>
    <w:p w14:paraId="FE000000">
      <w:pPr>
        <w:sectPr>
          <w:headerReference r:id="rId2" w:type="default"/>
          <w:pgSz w:h="11906" w:w="16383"/>
        </w:sectPr>
      </w:pPr>
    </w:p>
    <w:p w14:paraId="FF000000">
      <w:pPr>
        <w:spacing w:after="0" w:before="0"/>
        <w:ind w:firstLine="0" w:left="120"/>
        <w:jc w:val="center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ПОУРОЧНОЕ ПЛАНИРОВАНИЕ </w:t>
      </w:r>
    </w:p>
    <w:p w14:paraId="00010000">
      <w:pPr>
        <w:spacing w:after="0" w:before="0"/>
        <w:ind w:firstLine="0" w:left="120"/>
        <w:jc w:val="left"/>
        <w:rPr>
          <w:sz w:val="24"/>
        </w:rPr>
      </w:pPr>
      <w:r>
        <w:rPr>
          <w:rFonts w:ascii="Times New Roman" w:hAnsi="Times New Roman"/>
          <w:b w:val="1"/>
          <w:i w:val="0"/>
          <w:color w:val="000000"/>
          <w:sz w:val="24"/>
        </w:rPr>
        <w:t xml:space="preserve"> 10 КЛАСС </w:t>
      </w:r>
    </w:p>
    <w:tbl>
      <w:tblPr>
        <w:tblStyle w:val="Style_1"/>
        <w:tblBorders>
          <w:top w:sz="4" w:val="single"/>
          <w:left w:sz="4" w:val="single"/>
          <w:bottom w:sz="4" w:val="single"/>
          <w:right w:sz="4" w:val="single"/>
          <w:insideH w:sz="4" w:val="single"/>
          <w:insideV w:sz="4" w:val="single"/>
        </w:tblBorders>
      </w:tblPr>
      <w:tblGrid>
        <w:gridCol w:w="540"/>
        <w:gridCol w:w="2880"/>
        <w:gridCol w:w="1187"/>
        <w:gridCol w:w="2185"/>
        <w:gridCol w:w="2327"/>
        <w:gridCol w:w="1650"/>
        <w:gridCol w:w="2825"/>
      </w:tblGrid>
      <w:tr>
        <w:trPr>
          <w:trHeight w:hRule="atLeast" w:val="300"/>
        </w:trPr>
        <w:tc>
          <w:tcPr>
            <w:tcW w:type="dxa" w:w="54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№ п/п </w:t>
            </w:r>
          </w:p>
          <w:p w14:paraId="0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8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Тема урока </w:t>
            </w:r>
          </w:p>
          <w:p w14:paraId="0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5699"/>
            <w:gridSpan w:val="3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650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Дата изучения </w:t>
            </w:r>
          </w:p>
          <w:p w14:paraId="0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vMerge w:val="restart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795"/>
        </w:trPr>
        <w:tc>
          <w:tcPr>
            <w:tcW w:type="dxa" w:w="54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8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Всего </w:t>
            </w:r>
          </w:p>
          <w:p w14:paraId="0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Контрольные работы </w:t>
            </w:r>
          </w:p>
          <w:p w14:paraId="0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1"/>
                <w:i w:val="0"/>
                <w:color w:val="000000"/>
                <w:sz w:val="24"/>
              </w:rPr>
              <w:t xml:space="preserve">Практические работы </w:t>
            </w:r>
          </w:p>
          <w:p w14:paraId="0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1650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25"/>
            <w:gridSpan w:val="1"/>
            <w:vMerge w:val="continue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97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Операции с файлами и папками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Работа с прикладным программным обеспечением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Двоичное кодирование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Обработка информации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Системы счисления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Алгоритмы перевода чисел из P-ичной системы счисления в десятичную и обратно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текстов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Кодирование звука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29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Законы алгебры логики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90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Текстовый процессор и его базовые возможности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Растровая графика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Векторная графика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2010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2175"/>
        </w:trPr>
        <w:tc>
          <w:tcPr>
            <w:tcW w:type="dxa" w:w="54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before="0"/>
              <w:ind w:firstLine="0" w:left="0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type="dxa" w:w="288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  <w:tc>
          <w:tcPr>
            <w:tcW w:type="dxa" w:w="282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before="0"/>
              <w:ind w:firstLine="0" w:left="135"/>
              <w:jc w:val="left"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3420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before="0"/>
              <w:ind w:firstLine="0" w:left="135"/>
              <w:jc w:val="left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8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68 </w:t>
            </w:r>
          </w:p>
        </w:tc>
        <w:tc>
          <w:tcPr>
            <w:tcW w:type="dxa" w:w="2185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type="dxa" w:w="232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before="0"/>
              <w:ind w:firstLine="0"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type="dxa" w:w="4475"/>
            <w:gridSpan w:val="2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ind/>
              <w:jc w:val="left"/>
              <w:rPr>
                <w:sz w:val="24"/>
              </w:rPr>
            </w:pPr>
          </w:p>
        </w:tc>
      </w:tr>
    </w:tbl>
    <w:p w14:paraId="03020000">
      <w:r>
        <w:rPr>
          <w:rFonts w:ascii="Times New Roman" w:hAnsi="Times New Roman"/>
          <w:b w:val="0"/>
          <w:i w:val="0"/>
          <w:color w:val="000000"/>
          <w:sz w:val="24"/>
        </w:rPr>
        <w:t xml:space="preserve"> </w:t>
      </w:r>
    </w:p>
    <w:p w14:paraId="04020000">
      <w:pPr>
        <w:spacing w:after="0" w:before="0"/>
        <w:ind w:firstLine="0" w:left="-589"/>
        <w:jc w:val="left"/>
        <w:rPr>
          <w:sz w:val="24"/>
        </w:rPr>
      </w:pPr>
    </w:p>
    <w:p w14:paraId="05020000">
      <w:pPr>
        <w:sectPr>
          <w:headerReference r:id="rId4" w:type="default"/>
          <w:pgSz w:h="11906" w:w="16383"/>
        </w:sectPr>
      </w:pPr>
    </w:p>
    <w:sectPr>
      <w:headerReference r:id="rId8" w:type="default"/>
      <w:pgSz w:h="16839" w:w="11907"/>
      <w:pgMar w:bottom="144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1000000"/>
</w:hdr>
</file>

<file path=word/header2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2000000"/>
</w:hdr>
</file>

<file path=word/header3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3000000"/>
</w:hdr>
</file>

<file path=word/header4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4000000"/>
</w:hdr>
</file>

<file path=word/header5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5000000"/>
</w:hdr>
</file>

<file path=word/header6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6000000"/>
</w:hdr>
</file>

<file path=word/header7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7000000"/>
</w:hdr>
</file>

<file path=word/header8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8000000"/>
</w:hdr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Emphasis"/>
    <w:basedOn w:val="Style_8"/>
    <w:link w:val="Style_7_ch"/>
    <w:rPr>
      <w:i w:val="1"/>
    </w:rPr>
  </w:style>
  <w:style w:styleId="Style_7_ch" w:type="character">
    <w:name w:val="Emphasis"/>
    <w:basedOn w:val="Style_8_ch"/>
    <w:link w:val="Style_7"/>
    <w:rPr>
      <w:i w:val="1"/>
    </w:rPr>
  </w:style>
  <w:style w:styleId="Style_9" w:type="paragraph">
    <w:name w:val="heading 3"/>
    <w:basedOn w:val="Style_2"/>
    <w:next w:val="Style_2"/>
    <w:link w:val="Style_9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9_ch" w:type="character">
    <w:name w:val="heading 3"/>
    <w:basedOn w:val="Style_2_ch"/>
    <w:link w:val="Style_9"/>
    <w:rPr>
      <w:rFonts w:asciiTheme="majorAscii" w:hAnsiTheme="majorHAnsi"/>
      <w:b w:val="1"/>
      <w:color w:themeColor="accent1" w:val="000000"/>
    </w:rPr>
  </w:style>
  <w:style w:styleId="Style_10" w:type="paragraph">
    <w:name w:val="header"/>
    <w:basedOn w:val="Style_2"/>
    <w:link w:val="Style_10_ch"/>
    <w:pPr>
      <w:tabs>
        <w:tab w:leader="none" w:pos="4680" w:val="center"/>
        <w:tab w:leader="none" w:pos="9360" w:val="right"/>
      </w:tabs>
      <w:ind/>
    </w:pPr>
  </w:style>
  <w:style w:styleId="Style_10_ch" w:type="character">
    <w:name w:val="header"/>
    <w:basedOn w:val="Style_2_ch"/>
    <w:link w:val="Style_10"/>
  </w:style>
  <w:style w:styleId="Style_11" w:type="paragraph">
    <w:name w:val="toc 3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12" w:type="paragraph">
    <w:name w:val="heading 5"/>
    <w:link w:val="Style_12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2_ch" w:type="character">
    <w:name w:val="heading 5"/>
    <w:link w:val="Style_12"/>
    <w:rPr>
      <w:rFonts w:ascii="XO Thames" w:hAnsi="XO Thames"/>
      <w:b w:val="1"/>
      <w:color w:val="000000"/>
      <w:sz w:val="22"/>
    </w:rPr>
  </w:style>
  <w:style w:styleId="Style_13" w:type="paragraph">
    <w:name w:val="heading 1"/>
    <w:basedOn w:val="Style_2"/>
    <w:next w:val="Style_2"/>
    <w:link w:val="Style_13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3_ch" w:type="character">
    <w:name w:val="heading 1"/>
    <w:basedOn w:val="Style_2_ch"/>
    <w:link w:val="Style_13"/>
    <w:rPr>
      <w:rFonts w:asciiTheme="majorAscii" w:hAnsiTheme="majorHAnsi"/>
      <w:b w:val="1"/>
      <w:color w:themeColor="accent1" w:themeShade="BF" w:val="000000"/>
      <w:sz w:val="28"/>
    </w:rPr>
  </w:style>
  <w:style w:styleId="Style_14" w:type="paragraph">
    <w:name w:val="Normal Indent"/>
    <w:basedOn w:val="Style_2"/>
    <w:link w:val="Style_14_ch"/>
    <w:pPr>
      <w:ind w:firstLine="0" w:left="720"/>
    </w:pPr>
  </w:style>
  <w:style w:styleId="Style_14_ch" w:type="character">
    <w:name w:val="Normal Indent"/>
    <w:basedOn w:val="Style_2_ch"/>
    <w:link w:val="Style_14"/>
  </w:style>
  <w:style w:styleId="Style_15" w:type="paragraph">
    <w:name w:val="caption"/>
    <w:basedOn w:val="Style_2"/>
    <w:next w:val="Style_2"/>
    <w:link w:val="Style_15_ch"/>
    <w:pPr>
      <w:spacing w:line="240" w:lineRule="auto"/>
      <w:ind/>
    </w:pPr>
    <w:rPr>
      <w:b w:val="1"/>
      <w:color w:themeColor="accent1" w:val="000000"/>
      <w:sz w:val="18"/>
    </w:rPr>
  </w:style>
  <w:style w:styleId="Style_15_ch" w:type="character">
    <w:name w:val="caption"/>
    <w:basedOn w:val="Style_2_ch"/>
    <w:link w:val="Style_15"/>
    <w:rPr>
      <w:b w:val="1"/>
      <w:color w:themeColor="accent1" w:val="000000"/>
      <w:sz w:val="18"/>
    </w:rPr>
  </w:style>
  <w:style w:styleId="Style_16" w:type="paragraph">
    <w:name w:val="Hyperlink"/>
    <w:basedOn w:val="Style_8"/>
    <w:link w:val="Style_16_ch"/>
    <w:rPr>
      <w:color w:themeColor="hyperlink" w:val="000000"/>
      <w:u w:val="single"/>
    </w:rPr>
  </w:style>
  <w:style w:styleId="Style_16_ch" w:type="character">
    <w:name w:val="Hyperlink"/>
    <w:basedOn w:val="Style_8_ch"/>
    <w:link w:val="Style_16"/>
    <w:rPr>
      <w:color w:themeColor="hyperlink" w:val="000000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8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000000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000000"/>
      <w:spacing w:val="15"/>
      <w:sz w:val="24"/>
    </w:rPr>
  </w:style>
  <w:style w:styleId="Style_24" w:type="paragraph">
    <w:name w:val="toc 10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basedOn w:val="Style_2"/>
    <w:next w:val="Style_2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00000"/>
      <w:spacing w:val="5"/>
      <w:sz w:val="52"/>
    </w:rPr>
  </w:style>
  <w:style w:styleId="Style_25_ch" w:type="character">
    <w:name w:val="Title"/>
    <w:basedOn w:val="Style_2_ch"/>
    <w:link w:val="Style_25"/>
    <w:rPr>
      <w:rFonts w:asciiTheme="majorAscii" w:hAnsiTheme="majorHAnsi"/>
      <w:color w:themeColor="text2" w:themeShade="BF" w:val="000000"/>
      <w:spacing w:val="5"/>
      <w:sz w:val="52"/>
    </w:rPr>
  </w:style>
  <w:style w:styleId="Style_26" w:type="paragraph">
    <w:name w:val="heading 4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000000"/>
    </w:rPr>
  </w:style>
  <w:style w:styleId="Style_26_ch" w:type="character">
    <w:name w:val="heading 4"/>
    <w:basedOn w:val="Style_2_ch"/>
    <w:link w:val="Style_26"/>
    <w:rPr>
      <w:rFonts w:asciiTheme="majorAscii" w:hAnsiTheme="majorHAnsi"/>
      <w:b w:val="1"/>
      <w:i w:val="1"/>
      <w:color w:themeColor="accent1" w:val="000000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27" w:type="paragraph">
    <w:name w:val="heading 2"/>
    <w:basedOn w:val="Style_2"/>
    <w:next w:val="Style_2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7_ch" w:type="character">
    <w:name w:val="heading 2"/>
    <w:basedOn w:val="Style_2_ch"/>
    <w:link w:val="Style_27"/>
    <w:rPr>
      <w:rFonts w:asciiTheme="majorAscii" w:hAnsiTheme="majorHAnsi"/>
      <w:b w:val="1"/>
      <w:color w:themeColor="accent1" w:val="000000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header7.xml" Type="http://schemas.openxmlformats.org/officeDocument/2006/relationships/header"/>
  <Relationship Id="rId6" Target="header6.xml" Type="http://schemas.openxmlformats.org/officeDocument/2006/relationships/header"/>
  <Relationship Id="rId13" Target="stylesWithEffects.xml" Type="http://schemas.microsoft.com/office/2007/relationships/stylesWithEffects"/>
  <Relationship Id="rId9" Target="media/1.png" Type="http://schemas.openxmlformats.org/officeDocument/2006/relationships/image"/>
  <Relationship Id="rId5" Target="header5.xml" Type="http://schemas.openxmlformats.org/officeDocument/2006/relationships/header"/>
  <Relationship Id="rId8" Target="header8.xml" Type="http://schemas.openxmlformats.org/officeDocument/2006/relationships/header"/>
  <Relationship Id="rId4" Target="header4.xml" Type="http://schemas.openxmlformats.org/officeDocument/2006/relationships/header"/>
  <Relationship Id="rId12" Target="styles.xml" Type="http://schemas.openxmlformats.org/officeDocument/2006/relationships/styles"/>
  <Relationship Id="rId3" Target="header3.xml" Type="http://schemas.openxmlformats.org/officeDocument/2006/relationships/head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