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2000000">
      <w:pPr>
        <w:spacing w:after="0" w:line="240" w:lineRule="auto"/>
        <w:ind w:firstLine="0" w:left="120"/>
      </w:pPr>
      <w:r>
        <w:drawing>
          <wp:inline>
            <wp:extent cx="8336281" cy="608838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8336281" cy="60883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ПОЯСНИТЕЛЬНАЯ ЗАПИСКА</w:t>
      </w:r>
    </w:p>
    <w:p w14:paraId="04000000">
      <w:pPr>
        <w:spacing w:after="0" w:before="0"/>
        <w:ind w:firstLine="0" w:left="120"/>
        <w:jc w:val="both"/>
      </w:pPr>
    </w:p>
    <w:p w14:paraId="0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Приоритетными целями обучения математике в 5–6 классах являются:</w:t>
      </w:r>
    </w:p>
    <w:p w14:paraId="06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07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08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09000000">
      <w:pPr>
        <w:numPr>
          <w:ilvl w:val="0"/>
          <w:numId w:val="1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0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0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0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0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0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0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1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14:paraId="1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1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1" w:name="b3bba1d8-96c6-4edf-a714-0cf8fa85e20b"/>
      <w:bookmarkEnd w:id="1"/>
      <w:r>
        <w:rPr>
          <w:rFonts w:ascii="Times New Roman" w:hAnsi="Times New Roman"/>
          <w:b w:val="0"/>
          <w:i w:val="0"/>
          <w:color w:val="000000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 w14:paraId="1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СОДЕРЖАНИЕ ОБУЧЕНИЯ </w:t>
      </w:r>
    </w:p>
    <w:p w14:paraId="14000000">
      <w:pPr>
        <w:spacing w:after="0" w:before="0"/>
        <w:ind w:firstLine="0" w:left="120"/>
        <w:jc w:val="both"/>
      </w:pPr>
    </w:p>
    <w:p w14:paraId="15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 КЛАСС</w:t>
      </w:r>
    </w:p>
    <w:p w14:paraId="16000000">
      <w:pPr>
        <w:spacing w:after="0" w:before="0"/>
        <w:ind w:firstLine="0" w:left="120"/>
        <w:jc w:val="both"/>
      </w:pPr>
    </w:p>
    <w:p w14:paraId="1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Натуральные числа и нуль</w:t>
      </w:r>
    </w:p>
    <w:p w14:paraId="1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1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1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1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1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14:paraId="1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14:paraId="1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14:paraId="1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2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Дроби</w:t>
      </w:r>
    </w:p>
    <w:p w14:paraId="21000000">
      <w:r>
        <w:rPr>
          <w:rFonts w:ascii="Times New Roman" w:hAnsi="Times New Roman"/>
          <w:b w:val="1"/>
          <w:i w:val="0"/>
          <w:color w:val="000000"/>
          <w:sz w:val="28"/>
        </w:rPr>
        <w:t xml:space="preserve"> </w:t>
      </w:r>
    </w:p>
    <w:p w14:paraId="2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2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2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2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Арифметические действия с десятичными дробями. Округление десятичных дробей.</w:t>
      </w:r>
    </w:p>
    <w:p w14:paraId="2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2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2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2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основных задач на дроби.</w:t>
      </w:r>
    </w:p>
    <w:p w14:paraId="2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данных в виде таблиц, столбчатых диаграмм.</w:t>
      </w:r>
    </w:p>
    <w:p w14:paraId="2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2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2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2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2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3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3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3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Объём прямоугольного параллелепипеда, куба. Единицы измерения объёма.</w:t>
      </w:r>
    </w:p>
    <w:p w14:paraId="3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 КЛАСС</w:t>
      </w:r>
    </w:p>
    <w:p w14:paraId="34000000">
      <w:pPr>
        <w:spacing w:after="0" w:before="0"/>
        <w:ind w:firstLine="0" w:left="120"/>
        <w:jc w:val="both"/>
      </w:pPr>
    </w:p>
    <w:p w14:paraId="3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Натуральные числа</w:t>
      </w:r>
    </w:p>
    <w:p w14:paraId="3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3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3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Дроби</w:t>
      </w:r>
    </w:p>
    <w:p w14:paraId="3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3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14:paraId="3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3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Положительные и отрицательные числа</w:t>
      </w:r>
    </w:p>
    <w:p w14:paraId="3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3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3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Буквенные выражения</w:t>
      </w:r>
    </w:p>
    <w:p w14:paraId="4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4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4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4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4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4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Оценка и прикидка, округление результата. Составление буквенных выражений по условию задачи.</w:t>
      </w:r>
    </w:p>
    <w:p w14:paraId="4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4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4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4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4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4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4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Симметрия: центральная, осевая и зеркальная симметрии.</w:t>
      </w:r>
    </w:p>
    <w:p w14:paraId="4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симметричных фигур.</w:t>
      </w:r>
    </w:p>
    <w:p w14:paraId="4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4F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объёма, единицы измерения объёма. Объём прямоугольного параллелепипеда, куба.</w:t>
      </w:r>
    </w:p>
    <w:p w14:paraId="50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14:paraId="51000000">
      <w:pPr>
        <w:spacing w:after="0" w:before="0"/>
        <w:ind w:firstLine="0" w:left="120"/>
        <w:jc w:val="both"/>
      </w:pPr>
    </w:p>
    <w:p w14:paraId="52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ЛИЧНОСТНЫЕ РЕЗУЛЬТАТЫ</w:t>
      </w:r>
    </w:p>
    <w:p w14:paraId="53000000">
      <w:pPr>
        <w:spacing w:after="0" w:before="0"/>
        <w:ind w:firstLine="0" w:left="120"/>
        <w:jc w:val="both"/>
      </w:pPr>
    </w:p>
    <w:p w14:paraId="5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b w:val="0"/>
          <w:i w:val="0"/>
          <w:color w:val="000000"/>
          <w:sz w:val="28"/>
        </w:rPr>
        <w:t>освоения программы учебного курса «Математика» характеризуются:</w:t>
      </w:r>
    </w:p>
    <w:p w14:paraId="5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1) патриотическое воспитание:</w:t>
      </w:r>
    </w:p>
    <w:p w14:paraId="5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5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2) гражданское и духовно-нравственное воспитание:</w:t>
      </w:r>
    </w:p>
    <w:p w14:paraId="5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5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3) трудовое воспитание:</w:t>
      </w:r>
    </w:p>
    <w:p w14:paraId="5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5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4) эстетическое воспитание:</w:t>
      </w:r>
    </w:p>
    <w:p w14:paraId="5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5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5) ценности научного познания:</w:t>
      </w:r>
    </w:p>
    <w:p w14:paraId="5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5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 w14:paraId="6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6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7) экологическое воспитание:</w:t>
      </w:r>
    </w:p>
    <w:p w14:paraId="6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6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8) адаптация к изменяющимся условиям социальной и природной среды:</w:t>
      </w:r>
    </w:p>
    <w:p w14:paraId="6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6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67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МЕТАПРЕДМЕТНЫЕ РЕЗУЛЬТАТЫ</w:t>
      </w:r>
    </w:p>
    <w:p w14:paraId="68000000">
      <w:pPr>
        <w:spacing w:after="0" w:before="0"/>
        <w:ind w:firstLine="0" w:left="120"/>
        <w:jc w:val="both"/>
      </w:pPr>
    </w:p>
    <w:p w14:paraId="69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Познавательные универсальные учебные действия</w:t>
      </w:r>
    </w:p>
    <w:p w14:paraId="6A000000">
      <w:pPr>
        <w:spacing w:after="0" w:before="0"/>
        <w:ind w:firstLine="0" w:left="120"/>
        <w:jc w:val="both"/>
      </w:pPr>
    </w:p>
    <w:p w14:paraId="6B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Базовые логические действия:</w:t>
      </w:r>
    </w:p>
    <w:p w14:paraId="6C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6D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6E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6F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70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71000000">
      <w:pPr>
        <w:numPr>
          <w:ilvl w:val="0"/>
          <w:numId w:val="2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2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 w14:paraId="73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74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75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6000000">
      <w:pPr>
        <w:numPr>
          <w:ilvl w:val="0"/>
          <w:numId w:val="3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7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Работа с информацией:</w:t>
      </w:r>
    </w:p>
    <w:p w14:paraId="78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14:paraId="79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A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7B000000">
      <w:pPr>
        <w:numPr>
          <w:ilvl w:val="0"/>
          <w:numId w:val="4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7C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Коммуникативные универсальные учебные действия:</w:t>
      </w:r>
    </w:p>
    <w:p w14:paraId="7D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7E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7F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80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81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82000000">
      <w:pPr>
        <w:numPr>
          <w:ilvl w:val="0"/>
          <w:numId w:val="5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83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Регулятивные универсальные учебные действия</w:t>
      </w:r>
    </w:p>
    <w:p w14:paraId="84000000">
      <w:pPr>
        <w:spacing w:after="0" w:before="0"/>
        <w:ind w:firstLine="0" w:left="120"/>
        <w:jc w:val="both"/>
      </w:pPr>
    </w:p>
    <w:p w14:paraId="85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Самоорганизация:</w:t>
      </w:r>
    </w:p>
    <w:p w14:paraId="86000000">
      <w:pPr>
        <w:numPr>
          <w:ilvl w:val="0"/>
          <w:numId w:val="6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87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Самоконтроль, эмоциональный интеллект:</w:t>
      </w:r>
    </w:p>
    <w:p w14:paraId="88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14:paraId="89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8A000000">
      <w:pPr>
        <w:numPr>
          <w:ilvl w:val="0"/>
          <w:numId w:val="7"/>
        </w:numPr>
        <w:spacing w:after="0" w:before="0"/>
        <w:ind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8B000000">
      <w:pPr>
        <w:spacing w:after="0" w:before="0"/>
        <w:ind w:firstLine="0" w:left="120"/>
        <w:jc w:val="both"/>
      </w:pPr>
    </w:p>
    <w:p w14:paraId="8C000000">
      <w:pPr>
        <w:spacing w:after="0" w:before="0"/>
        <w:ind w:firstLine="0" w:left="12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 xml:space="preserve">ПРЕДМЕТНЫЕ РЕЗУЛЬТАТЫ </w:t>
      </w:r>
    </w:p>
    <w:p w14:paraId="8D000000">
      <w:pPr>
        <w:spacing w:after="0" w:before="0"/>
        <w:ind w:firstLine="0" w:left="120"/>
        <w:jc w:val="both"/>
      </w:pPr>
    </w:p>
    <w:p w14:paraId="8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5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результаты:</w:t>
      </w:r>
    </w:p>
    <w:p w14:paraId="8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Числа и вычисления</w:t>
      </w:r>
    </w:p>
    <w:p w14:paraId="9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9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9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9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14:paraId="9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проверку, прикидку результата вычислений.</w:t>
      </w:r>
    </w:p>
    <w:p w14:paraId="9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Округлять натуральные числа.</w:t>
      </w:r>
    </w:p>
    <w:p w14:paraId="9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9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9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9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краткие записи, схемы, таблицы, обозначения при решении задач.</w:t>
      </w:r>
    </w:p>
    <w:p w14:paraId="9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9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9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9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9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14:paraId="9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A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A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A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A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A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A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A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14:paraId="A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14:paraId="A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 w:val="1"/>
          <w:i w:val="0"/>
          <w:color w:val="000000"/>
          <w:sz w:val="28"/>
        </w:rPr>
        <w:t>в 6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результаты:</w:t>
      </w:r>
    </w:p>
    <w:p w14:paraId="A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Числа и вычисления</w:t>
      </w:r>
    </w:p>
    <w:p w14:paraId="A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A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A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A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A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A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14:paraId="B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Округлять целые числа и десятичные дроби, находить приближения чисел.</w:t>
      </w:r>
    </w:p>
    <w:p w14:paraId="B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Числовые и буквенные выражения</w:t>
      </w:r>
    </w:p>
    <w:p w14:paraId="B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B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14:paraId="B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Пользоваться масштабом, составлять пропорции и отношения. </w:t>
      </w:r>
    </w:p>
    <w:p w14:paraId="B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B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неизвестный компонент равенства.</w:t>
      </w:r>
    </w:p>
    <w:p w14:paraId="B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Решение текстовых задач</w:t>
      </w:r>
    </w:p>
    <w:p w14:paraId="B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многошаговые текстовые задачи арифметическим способом.</w:t>
      </w:r>
    </w:p>
    <w:p w14:paraId="B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BA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BB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буквенные выражения по условию задачи.</w:t>
      </w:r>
    </w:p>
    <w:p w14:paraId="BC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BD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Представлять информацию с помощью таблиц, линейной и столбчатой диаграмм.</w:t>
      </w:r>
    </w:p>
    <w:p w14:paraId="BE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1"/>
          <w:i w:val="0"/>
          <w:color w:val="000000"/>
          <w:sz w:val="28"/>
        </w:rPr>
        <w:t>Наглядная геометрия</w:t>
      </w:r>
    </w:p>
    <w:p w14:paraId="BF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C0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C1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C2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C3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C4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C5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C6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C7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Изображать на клетчатой бумаге прямоугольный параллелепипед.</w:t>
      </w:r>
    </w:p>
    <w:p w14:paraId="C8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C9000000">
      <w:pPr>
        <w:spacing w:after="0" w:before="0"/>
        <w:ind w:firstLine="600" w:left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14:paraId="CA000000">
      <w:pPr>
        <w:spacing w:after="0" w:line="240" w:lineRule="auto"/>
        <w:ind w:firstLine="0" w:left="120"/>
      </w:pPr>
    </w:p>
    <w:p w14:paraId="CB000000">
      <w:pPr>
        <w:spacing w:after="0" w:line="240" w:lineRule="auto"/>
        <w:ind w:firstLine="0" w:left="120"/>
      </w:pPr>
    </w:p>
    <w:p w14:paraId="CC000000">
      <w:pPr>
        <w:spacing w:after="0" w:line="240" w:lineRule="auto"/>
        <w:ind w:firstLine="0" w:left="120"/>
      </w:pPr>
    </w:p>
    <w:p w14:paraId="CD000000">
      <w:pPr>
        <w:spacing w:after="0" w:line="240" w:lineRule="auto"/>
        <w:ind w:firstLine="0" w:left="120"/>
      </w:pPr>
      <w:bookmarkStart w:id="2" w:name="block-5567085"/>
      <w:bookmarkEnd w:id="2"/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CE000000">
      <w:pPr>
        <w:spacing w:after="0" w:line="24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1211"/>
        <w:gridCol w:w="4500"/>
        <w:gridCol w:w="1611"/>
        <w:gridCol w:w="1841"/>
        <w:gridCol w:w="1910"/>
        <w:gridCol w:w="2837"/>
      </w:tblGrid>
      <w:tr>
        <w:trPr>
          <w:trHeight w:hRule="atLeast" w:val="144"/>
        </w:trPr>
        <w:tc>
          <w:tcPr>
            <w:tcW w:type="dxa" w:w="1211"/>
            <w:vMerge w:val="restart"/>
            <w:tcMar>
              <w:top w:type="dxa" w:w="50"/>
              <w:left w:type="dxa" w:w="100"/>
            </w:tcMar>
            <w:vAlign w:val="center"/>
          </w:tcPr>
          <w:p w14:paraId="CF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D0000000">
            <w:pPr>
              <w:spacing w:after="0" w:line="240" w:lineRule="auto"/>
              <w:ind w:firstLine="0" w:left="135"/>
            </w:pPr>
          </w:p>
        </w:tc>
        <w:tc>
          <w:tcPr>
            <w:tcW w:type="dxa" w:w="4500"/>
            <w:vMerge w:val="restart"/>
            <w:tcMar>
              <w:top w:type="dxa" w:w="50"/>
              <w:left w:type="dxa" w:w="100"/>
            </w:tcMar>
            <w:vAlign w:val="center"/>
          </w:tcPr>
          <w:p w14:paraId="D1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D2000000">
            <w:pPr>
              <w:spacing w:after="0" w:line="240" w:lineRule="auto"/>
              <w:ind w:firstLine="0" w:left="135"/>
            </w:pPr>
          </w:p>
        </w:tc>
        <w:tc>
          <w:tcPr>
            <w:tcW w:type="dxa" w:w="5362"/>
            <w:gridSpan w:val="3"/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837"/>
            <w:vMerge w:val="restart"/>
            <w:tcMar>
              <w:top w:type="dxa" w:w="50"/>
              <w:left w:type="dxa" w:w="100"/>
            </w:tcMar>
            <w:vAlign w:val="center"/>
          </w:tcPr>
          <w:p w14:paraId="D4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D5000000">
            <w:pPr>
              <w:spacing w:after="0" w:line="240" w:lineRule="auto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211"/>
            <w:gridSpan w:val="1"/>
            <w:vMerge w:val="continue"/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500"/>
            <w:gridSpan w:val="1"/>
            <w:vMerge w:val="continue"/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D6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D7000000">
            <w:pPr>
              <w:spacing w:after="0" w:line="240" w:lineRule="auto"/>
              <w:ind w:firstLine="0" w:left="135"/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8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D9000000">
            <w:pPr>
              <w:spacing w:after="0" w:line="240" w:lineRule="auto"/>
              <w:ind w:firstLine="0" w:left="135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A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DB000000">
            <w:pPr>
              <w:spacing w:after="0" w:line="240" w:lineRule="auto"/>
              <w:ind w:firstLine="0" w:left="135"/>
            </w:pPr>
          </w:p>
        </w:tc>
        <w:tc>
          <w:tcPr>
            <w:tcW w:type="dxa" w:w="2837"/>
            <w:gridSpan w:val="1"/>
            <w:vMerge w:val="continue"/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DC00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DD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DE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700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FC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E00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02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Наглядная геометрия. </w:t>
            </w:r>
            <w:r>
              <w:rPr>
                <w:rFonts w:ascii="Times New Roman" w:hAnsi="Times New Roman"/>
                <w:color w:val="000000"/>
                <w:sz w:val="24"/>
              </w:rPr>
              <w:t>Прямые на плоскости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901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A01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F01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211"/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 w:line="240" w:lineRule="auto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4500"/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 w:line="240" w:lineRule="auto"/>
              <w:ind w:firstLine="0" w:left="135"/>
              <w:jc w:val="center"/>
            </w:pP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711"/>
            <w:gridSpan w:val="2"/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 w:line="240" w:lineRule="auto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611"/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 w:line="240" w:lineRule="auto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2837"/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line="240" w:lineRule="auto"/>
              <w:ind/>
            </w:pPr>
          </w:p>
        </w:tc>
      </w:tr>
    </w:tbl>
    <w:p w14:paraId="23010000">
      <w:pPr>
        <w:sectPr>
          <w:footerReference r:id="rId1" w:type="default"/>
          <w:pgSz w:h="11906" w:w="16383"/>
          <w:pgMar w:bottom="1134" w:footer="720" w:gutter="0" w:header="720" w:left="1701" w:right="850" w:top="1134"/>
        </w:sectPr>
      </w:pPr>
    </w:p>
    <w:p w14:paraId="24010000">
      <w:pPr>
        <w:sectPr>
          <w:footerReference r:id="rId1" w:type="default"/>
          <w:pgSz w:h="11906" w:w="16383"/>
          <w:pgMar w:bottom="1134" w:footer="720" w:gutter="0" w:header="720" w:left="1701" w:right="850" w:top="1134"/>
        </w:sectPr>
      </w:pPr>
    </w:p>
    <w:p w14:paraId="25010000">
      <w:pPr>
        <w:spacing w:after="0"/>
        <w:ind w:firstLine="0" w:left="120"/>
      </w:pPr>
      <w:bookmarkStart w:id="3" w:name="block-5567084"/>
      <w:bookmarkEnd w:id="3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26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890"/>
        <w:gridCol w:w="4066"/>
        <w:gridCol w:w="1162"/>
        <w:gridCol w:w="1841"/>
        <w:gridCol w:w="1910"/>
        <w:gridCol w:w="1347"/>
        <w:gridCol w:w="2824"/>
      </w:tblGrid>
      <w:tr>
        <w:trPr>
          <w:trHeight w:hRule="atLeast" w:val="144"/>
        </w:trPr>
        <w:tc>
          <w:tcPr>
            <w:tcW w:type="dxa" w:w="890"/>
            <w:vMerge w:val="restart"/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28010000">
            <w:pPr>
              <w:spacing w:after="0"/>
              <w:ind w:firstLine="0" w:left="135"/>
            </w:pPr>
          </w:p>
        </w:tc>
        <w:tc>
          <w:tcPr>
            <w:tcW w:type="dxa" w:w="4066"/>
            <w:vMerge w:val="restart"/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2A010000">
            <w:pPr>
              <w:spacing w:after="0"/>
              <w:ind w:firstLine="0" w:left="135"/>
            </w:pPr>
          </w:p>
        </w:tc>
        <w:tc>
          <w:tcPr>
            <w:tcW w:type="dxa" w:w="4913"/>
            <w:gridSpan w:val="3"/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347"/>
            <w:vMerge w:val="restart"/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2D010000">
            <w:pPr>
              <w:spacing w:after="0"/>
              <w:ind w:firstLine="0" w:left="135"/>
            </w:pPr>
          </w:p>
        </w:tc>
        <w:tc>
          <w:tcPr>
            <w:tcW w:type="dxa" w:w="2824"/>
            <w:vMerge w:val="restart"/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F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gridSpan w:val="1"/>
            <w:vMerge w:val="continue"/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4066"/>
            <w:gridSpan w:val="1"/>
            <w:vMerge w:val="continue"/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31010000">
            <w:pPr>
              <w:spacing w:after="0"/>
              <w:ind w:firstLine="0" w:left="135"/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33010000">
            <w:pPr>
              <w:spacing w:after="0"/>
              <w:ind w:firstLine="0" w:left="135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35010000">
            <w:pPr>
              <w:spacing w:after="0"/>
              <w:ind w:firstLine="0" w:left="135"/>
            </w:pPr>
          </w:p>
        </w:tc>
        <w:tc>
          <w:tcPr>
            <w:tcW w:type="dxa" w:w="1347"/>
            <w:gridSpan w:val="1"/>
            <w:vMerge w:val="continue"/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24"/>
            <w:gridSpan w:val="1"/>
            <w:vMerge w:val="continue"/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"https://m.edsoo.ru/f2a208ec"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208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731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1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1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"https://m.edsoo.ru/f2a28d76"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"https://m.edsoo.ru/f2a28efc"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efc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"https://m.edsoo.ru/f2a28efc"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efc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"https://m.edsoo.ru/f2a3178c"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"https://m.edsoo.ru/f2a3178c"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1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 w:firstLine="0" w:left="135"/>
              <w:jc w:val="center"/>
            </w:pPr>
            <w:r>
              <w:t>1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"https://m.edsoo.ru/f2a2a75c"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75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"https://m.edsoo.ru/f2a2ab94"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>
              <w:rPr>
                <w:rFonts w:ascii="Times New Roman" w:hAnsi="Times New Roman"/>
                <w:color w:val="0000FF"/>
                <w:u w:val="single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1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/>
              <w:ind w:firstLine="0" w:left="135"/>
              <w:jc w:val="center"/>
            </w:pPr>
            <w:r>
              <w:t>1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1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 w:firstLine="0" w:left="135"/>
              <w:jc w:val="center"/>
            </w:pPr>
            <w:r>
              <w:t>1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1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"https://m.edsoo.ru/f2a22a3e"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"https://m.edsoo.ru/f2a22a3e"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"https://m.edsoo.ru/f2a2340c"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2340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"https://m.edsoo.ru/f2a22d2c"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"https://m.edsoo.ru/f2a23254"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23254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1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"https://m.edsoo.ru/f2a261fc"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261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4066"/>
            <w:tcBorders>
              <w:top w:color="000000" w:sz="4" w:val="single"/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общему знаменателю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"https://m.edsoo.ru/f2a26ab2"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общему знаменателю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дробей к общему знаменателю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упорядочивание </w:t>
            </w:r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"https://m.edsoo.ru/f2a2721e"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2721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"https://m.edsoo.ru/f2a2749e"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2749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 с разными знаменателями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"https://m.edsoo.ru/f2a276c4"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 с разными знаменателями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"https://m.edsoo.ru/f2a277dc"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277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 с разными знаменателями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 с разными знаменателями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дробей с разными знаменателями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теме: «Сложение и вычитание дробей с разными знаменателями»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2020000">
            <w:pPr>
              <w:ind/>
              <w:jc w:val="center"/>
            </w:pPr>
            <w: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  <w:jc w:val="center"/>
            </w:pPr>
            <w:r>
              <w:t>1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2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"https://m.edsoo.ru/f2a27d40"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"https://m.edsoo.ru/f2a27ec6"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"https://m.edsoo.ru/f2a27c00"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"https://m.edsoo.ru/f2a26512"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26512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"https://m.edsoo.ru/f2a2818c"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2818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"https://m.edsoo.ru/f2a29546"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29546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числа по его дроби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"Дробные выражения""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"https://m.edsoo.ru/f2a29d34"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"https://m.edsoo.ru/f2a282c2"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"https://m.edsoo.ru/f2a28448"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28448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3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"https://m.edsoo.ru/f2a28a7e"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"https://m.edsoo.ru/f2a28c22"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"https://m.edsoo.ru/f2a28c22"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3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пропорциональные зависимости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пропорциональные зависимости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пропорциональные зависимости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3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пропорциональные зависимости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теме: «Отношения и пропорции»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"https://m.edsoo.ru/f2a2509a"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2509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"https://m.edsoo.ru/f2a25428"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25428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"https://m.edsoo.ru/f2a2598c"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2598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Шар.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"https://m.edsoo.ru/f2a2ae8c"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3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"https://m.edsoo.ru/f2a2bf6c"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"https://m.edsoo.ru/f2a2c07a"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3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4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"https://m.edsoo.ru/f2a2c886"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"https://m.edsoo.ru/f2a2ca3e"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4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"https://m.edsoo.ru/f2a2ce30"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"https://m.edsoo.ru/f2a2cf48"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r>
              <w:rPr>
                <w:rFonts w:ascii="Times New Roman" w:hAnsi="Times New Roman"/>
                <w:color w:val="0000FF"/>
                <w:u w:val="single"/>
              </w:rPr>
              <w:t>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4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помощью координатной прямой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помощью координатной прямой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4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помощью координатной прямой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"https://m.edsoo.ru/f2a2d830"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"https://m.edsoo.ru/f2a2d984"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"https://m.edsoo.ru/f2a2d984"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4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"https://m.edsoo.ru/f2a2dab0"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dab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"https://m.edsoo.ru/f2a2ddee"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ddee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"https://m.edsoo.ru/f2a2defc"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defc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"https://m.edsoo.ru/f2a2e384"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384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чисел с разными знаками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"https://m.edsoo.ru/f2a2e5f0"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"https://m.edsoo.ru/f2a2e762"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762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№10 по теме: «Сложение и вычитание положительных и отрицательных чисел»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"https://m.edsoo.ru/f2a2eb90"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"https://m.edsoo.ru/f2a2ecf8"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ecf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"https://m.edsoo.ru/f2a2ee10"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"https://m.edsoo.ru/f2a2f248"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5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действий с рациональными числами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действий с рациональными числами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действий с рациональными числами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действий с рациональными числами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5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действий с рациональными числами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теме: «Умножение и деление положительных и отрицательных чисел»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5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теме: «Решение уравнений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"https://m.edsoo.ru/f2a24442"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24442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"https://m.edsoo.ru/f2a24596"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24596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5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"https://m.edsoo.ru/f2a248d4"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248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"https://m.edsoo.ru/f2a24a32"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5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"https://m.edsoo.ru/f2a30ca6"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"https://m.edsoo.ru/f2a311d8"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311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5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"https://m.edsoo.ru/f2a24eb0"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6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на графиках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числовой информации на графиках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"Фигуры на плоскости"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"https://m.edsoo.ru/f2a29bea"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29</w:t>
            </w:r>
            <w:r>
              <w:rPr>
                <w:rFonts w:ascii="Times New Roman" w:hAnsi="Times New Roman"/>
                <w:color w:val="0000FF"/>
                <w:u w:val="single"/>
              </w:rPr>
              <w:t>bea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4066"/>
            <w:tcBorders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"https://m.edsoo.ru/f2a319c6"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319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6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37060000">
            <w:r>
              <w:t>184</w:t>
            </w:r>
          </w:p>
        </w:tc>
        <w:tc>
          <w:tcPr>
            <w:tcW w:type="dxa" w:w="4066"/>
            <w:tcBorders>
              <w:top w:color="000000" w:sz="4" w:val="single"/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"https://m.edsoo.ru/f2a3206a"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3206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6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4066"/>
            <w:tcBorders>
              <w:top w:color="000000" w:sz="4" w:val="single"/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"https://m.edsoo.ru/f2a321c8"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6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00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066"/>
            <w:tcBorders>
              <w:top w:color="000000" w:sz="4" w:val="single"/>
              <w:bottom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"https://m.edsoo.ru/f2a3234e"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3234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Borders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4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60000">
            <w:pPr>
              <w:spacing w:after="0" w:line="276" w:lineRule="auto"/>
              <w:ind w:firstLine="0" w:left="135"/>
              <w:rPr>
                <w:rFonts w:asciiTheme="minorAscii" w:hAnsiTheme="minorHAnsi"/>
                <w:sz w:val="22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type="dxa" w:w="1162"/>
            <w:tcBorders>
              <w:lef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1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4066"/>
            <w:tcBorders>
              <w:top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"https://m.edsoo.ru/f2a3252e"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3252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"https://m.edsoo.ru/f2a32a9c"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"https://m.edsoo.ru/f2a32bd2"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t>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"https://m.edsoo.ru/f2a3312c"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3312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"https://m.edsoo.ru/f2a33352"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33352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"https://m.edsoo.ru/f2a33596"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33596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"https://m.edsoo.ru/f2a33780"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33780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"https://m.edsoo.ru/f2a338b6"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"https://m.edsoo.ru/f2a339ce"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339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548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"https://m.edsoo.ru/f2a33ad2"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"https://m.edsoo.ru/f2a33bd6"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"https://m.edsoo.ru/f2a33f46"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"https://m.edsoo.ru/f2a340b8"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340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"https://m.edsoo.ru/f2a3420c"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3420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890"/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type="dxa" w:w="4066"/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347"/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/>
              <w:ind w:firstLine="0" w:left="135"/>
            </w:pPr>
          </w:p>
        </w:tc>
        <w:tc>
          <w:tcPr>
            <w:tcW w:type="dxa" w:w="2824"/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56"/>
            <w:gridSpan w:val="2"/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62"/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type="dxa" w:w="1841"/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910"/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4171"/>
            <w:gridSpan w:val="2"/>
            <w:tcMar>
              <w:top w:type="dxa" w:w="50"/>
              <w:left w:type="dxa" w:w="100"/>
            </w:tcMar>
            <w:vAlign w:val="center"/>
          </w:tcPr>
          <w:p w14:paraId="CE060000"/>
        </w:tc>
      </w:tr>
    </w:tbl>
    <w:p w14:paraId="CF060000">
      <w:pPr>
        <w:spacing w:after="0"/>
        <w:ind w:firstLine="0" w:left="-589"/>
      </w:pPr>
    </w:p>
    <w:sectPr>
      <w:footerReference r:id="rId1" w:type="default"/>
      <w:pgSz w:h="11906" w:w="16383"/>
      <w:pgMar w:bottom="1134" w:footer="720" w:gutter="0" w:header="720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1000000"/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basedOn w:val="Style_2"/>
    <w:next w:val="Style_2"/>
    <w:link w:val="Style_7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000000"/>
    </w:rPr>
  </w:style>
  <w:style w:styleId="Style_7_ch" w:type="character">
    <w:name w:val="heading 3"/>
    <w:basedOn w:val="Style_2_ch"/>
    <w:link w:val="Style_7"/>
    <w:rPr>
      <w:rFonts w:asciiTheme="majorAscii" w:hAnsiTheme="majorHAnsi"/>
      <w:b w:val="1"/>
      <w:color w:themeColor="accent1" w:val="000000"/>
    </w:rPr>
  </w:style>
  <w:style w:styleId="Style_8" w:type="paragraph">
    <w:name w:val="header"/>
    <w:basedOn w:val="Style_2"/>
    <w:link w:val="Style_8_ch"/>
    <w:pPr>
      <w:tabs>
        <w:tab w:leader="none" w:pos="4680" w:val="center"/>
        <w:tab w:leader="none" w:pos="9360" w:val="right"/>
      </w:tabs>
      <w:ind/>
    </w:pPr>
  </w:style>
  <w:style w:styleId="Style_8_ch" w:type="character">
    <w:name w:val="header"/>
    <w:basedOn w:val="Style_2_ch"/>
    <w:link w:val="Style_8"/>
  </w:style>
  <w:style w:styleId="Style_9" w:type="paragraph">
    <w:name w:val="toc 3"/>
    <w:link w:val="Style_9_ch"/>
    <w:uiPriority w:val="39"/>
    <w:pPr>
      <w:ind w:firstLine="0" w:left="400"/>
    </w:pPr>
  </w:style>
  <w:style w:styleId="Style_9_ch" w:type="character">
    <w:name w:val="toc 3"/>
    <w:link w:val="Style_9"/>
  </w:style>
  <w:style w:styleId="Style_10" w:type="paragraph">
    <w:name w:val="Normal Indent"/>
    <w:basedOn w:val="Style_2"/>
    <w:link w:val="Style_10_ch"/>
    <w:pPr>
      <w:ind w:firstLine="0" w:left="720"/>
    </w:pPr>
  </w:style>
  <w:style w:styleId="Style_10_ch" w:type="character">
    <w:name w:val="Normal Indent"/>
    <w:basedOn w:val="Style_2_ch"/>
    <w:link w:val="Style_10"/>
  </w:style>
  <w:style w:styleId="Style_11" w:type="paragraph">
    <w:name w:val="caption"/>
    <w:basedOn w:val="Style_2"/>
    <w:next w:val="Style_2"/>
    <w:link w:val="Style_11_ch"/>
    <w:pPr>
      <w:spacing w:line="240" w:lineRule="auto"/>
      <w:ind/>
    </w:pPr>
    <w:rPr>
      <w:b w:val="1"/>
      <w:color w:themeColor="accent1" w:val="000000"/>
      <w:sz w:val="18"/>
    </w:rPr>
  </w:style>
  <w:style w:styleId="Style_11_ch" w:type="character">
    <w:name w:val="caption"/>
    <w:basedOn w:val="Style_2_ch"/>
    <w:link w:val="Style_11"/>
    <w:rPr>
      <w:b w:val="1"/>
      <w:color w:themeColor="accent1" w:val="000000"/>
      <w:sz w:val="18"/>
    </w:rPr>
  </w:style>
  <w:style w:styleId="Style_12" w:type="paragraph">
    <w:name w:val="heading 5"/>
    <w:link w:val="Style_12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2_ch" w:type="character">
    <w:name w:val="heading 5"/>
    <w:link w:val="Style_12"/>
    <w:rPr>
      <w:rFonts w:ascii="XO Thames" w:hAnsi="XO Thames"/>
      <w:b w:val="1"/>
      <w:color w:val="000000"/>
      <w:sz w:val="22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eading 1"/>
    <w:basedOn w:val="Style_2"/>
    <w:next w:val="Style_2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000000"/>
      <w:sz w:val="28"/>
    </w:rPr>
  </w:style>
  <w:style w:styleId="Style_14_ch" w:type="character">
    <w:name w:val="heading 1"/>
    <w:basedOn w:val="Style_2_ch"/>
    <w:link w:val="Style_14"/>
    <w:rPr>
      <w:rFonts w:asciiTheme="majorAscii" w:hAnsiTheme="majorHAnsi"/>
      <w:b w:val="1"/>
      <w:color w:themeColor="accent1" w:themeShade="BF" w:val="000000"/>
      <w:sz w:val="28"/>
    </w:rPr>
  </w:style>
  <w:style w:styleId="Style_15" w:type="paragraph">
    <w:name w:val="Hyperlink"/>
    <w:basedOn w:val="Style_13"/>
    <w:link w:val="Style_15_ch"/>
    <w:rPr>
      <w:color w:themeColor="hyperlink" w:val="000000"/>
      <w:u w:val="single"/>
    </w:rPr>
  </w:style>
  <w:style w:styleId="Style_15_ch" w:type="character">
    <w:name w:val="Hyperlink"/>
    <w:basedOn w:val="Style_13_ch"/>
    <w:link w:val="Style_15"/>
    <w:rPr>
      <w:color w:themeColor="hyperlink" w:val="000000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Header and Footer"/>
    <w:link w:val="Style_18_ch"/>
    <w:pPr>
      <w:spacing w:line="360" w:lineRule="auto"/>
      <w:ind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link w:val="Style_19_ch"/>
    <w:uiPriority w:val="39"/>
    <w:pPr>
      <w:ind w:firstLine="0" w:left="1600"/>
    </w:pPr>
  </w:style>
  <w:style w:styleId="Style_19_ch" w:type="character">
    <w:name w:val="toc 9"/>
    <w:link w:val="Style_19"/>
  </w:style>
  <w:style w:styleId="Style_20" w:type="paragraph">
    <w:name w:val="toc 8"/>
    <w:link w:val="Style_20_ch"/>
    <w:uiPriority w:val="39"/>
    <w:pPr>
      <w:ind w:firstLine="0" w:left="1400"/>
    </w:pPr>
  </w:style>
  <w:style w:styleId="Style_20_ch" w:type="character">
    <w:name w:val="toc 8"/>
    <w:link w:val="Style_20"/>
  </w:style>
  <w:style w:styleId="Style_21" w:type="paragraph">
    <w:name w:val="Emphasis"/>
    <w:basedOn w:val="Style_13"/>
    <w:link w:val="Style_21_ch"/>
    <w:rPr>
      <w:i w:val="1"/>
    </w:rPr>
  </w:style>
  <w:style w:styleId="Style_21_ch" w:type="character">
    <w:name w:val="Emphasis"/>
    <w:basedOn w:val="Style_13_ch"/>
    <w:link w:val="Style_21"/>
    <w:rPr>
      <w:i w:val="1"/>
    </w:rPr>
  </w:style>
  <w:style w:styleId="Style_22" w:type="paragraph">
    <w:name w:val="toc 5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000000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000000"/>
      <w:spacing w:val="15"/>
      <w:sz w:val="24"/>
    </w:rPr>
  </w:style>
  <w:style w:styleId="Style_24" w:type="paragraph">
    <w:name w:val="toc 10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basedOn w:val="Style_2"/>
    <w:next w:val="Style_2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000000"/>
      <w:spacing w:val="5"/>
      <w:sz w:val="52"/>
    </w:rPr>
  </w:style>
  <w:style w:styleId="Style_25_ch" w:type="character">
    <w:name w:val="Title"/>
    <w:basedOn w:val="Style_2_ch"/>
    <w:link w:val="Style_25"/>
    <w:rPr>
      <w:rFonts w:asciiTheme="majorAscii" w:hAnsiTheme="majorHAnsi"/>
      <w:color w:themeColor="text2" w:themeShade="BF" w:val="000000"/>
      <w:spacing w:val="5"/>
      <w:sz w:val="52"/>
    </w:rPr>
  </w:style>
  <w:style w:styleId="Style_26" w:type="paragraph">
    <w:name w:val="heading 4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000000"/>
    </w:rPr>
  </w:style>
  <w:style w:styleId="Style_26_ch" w:type="character">
    <w:name w:val="heading 4"/>
    <w:basedOn w:val="Style_2_ch"/>
    <w:link w:val="Style_26"/>
    <w:rPr>
      <w:rFonts w:asciiTheme="majorAscii" w:hAnsiTheme="majorHAnsi"/>
      <w:b w:val="1"/>
      <w:i w:val="1"/>
      <w:color w:themeColor="accent1" w:val="000000"/>
    </w:rPr>
  </w:style>
  <w:style w:styleId="Style_27" w:type="paragraph">
    <w:name w:val="heading 2"/>
    <w:basedOn w:val="Style_2"/>
    <w:next w:val="Style_2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000000"/>
      <w:sz w:val="26"/>
    </w:rPr>
  </w:style>
  <w:style w:styleId="Style_27_ch" w:type="character">
    <w:name w:val="heading 2"/>
    <w:basedOn w:val="Style_2_ch"/>
    <w:link w:val="Style_27"/>
    <w:rPr>
      <w:rFonts w:asciiTheme="majorAscii" w:hAnsiTheme="majorHAnsi"/>
      <w:b w:val="1"/>
      <w:color w:themeColor="accent1" w:val="000000"/>
      <w:sz w:val="26"/>
    </w:r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</a:gradFill>
        <a:gradFill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